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07" w:lineRule="atLeast"/>
        <w:jc w:val="center"/>
        <w:outlineLvl w:val="2"/>
        <w:rPr>
          <w:rFonts w:ascii="Arial" w:hAnsi="Arial" w:eastAsia="宋体" w:cs="Arial"/>
          <w:b/>
          <w:bCs/>
          <w:color w:val="000000"/>
          <w:kern w:val="0"/>
          <w:sz w:val="27"/>
          <w:szCs w:val="27"/>
        </w:rPr>
      </w:pPr>
    </w:p>
    <w:p>
      <w:pPr>
        <w:jc w:val="both"/>
        <w:rPr>
          <w:rFonts w:ascii="Arial" w:hAnsi="Arial" w:cs="Arial"/>
          <w:b/>
          <w:kern w:val="0"/>
          <w:sz w:val="44"/>
          <w:szCs w:val="44"/>
        </w:rPr>
      </w:pPr>
      <w:r>
        <w:rPr>
          <w:rFonts w:ascii="Arial" w:hAnsi="Arial" w:cs="Arial"/>
          <w:b/>
          <w:kern w:val="0"/>
          <w:sz w:val="44"/>
          <w:szCs w:val="44"/>
        </w:rPr>
        <w:t xml:space="preserve"> </w:t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jc w:val="center"/>
        <w:rPr>
          <w:rFonts w:ascii="Arial" w:hAnsi="Arial" w:cs="Arial"/>
          <w:b/>
          <w:kern w:val="0"/>
          <w:sz w:val="44"/>
          <w:szCs w:val="44"/>
        </w:rPr>
      </w:pPr>
      <w:r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  <w:t xml:space="preserve"> 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 xml:space="preserve">9153KVA </w:t>
      </w:r>
      <w:r>
        <w:rPr>
          <w:rFonts w:ascii="Arial" w:hAnsi="Arial" w:cs="Arial"/>
          <w:b/>
          <w:kern w:val="0"/>
          <w:sz w:val="44"/>
          <w:szCs w:val="44"/>
        </w:rPr>
        <w:t>Power</w:t>
      </w:r>
      <w:r>
        <w:rPr>
          <w:rFonts w:hint="eastAsia" w:ascii="Arial" w:hAnsi="Arial" w:cs="Arial"/>
          <w:b/>
          <w:kern w:val="0"/>
          <w:sz w:val="44"/>
          <w:szCs w:val="44"/>
        </w:rPr>
        <w:t xml:space="preserve"> Plant Proposal</w:t>
      </w:r>
    </w:p>
    <w:p>
      <w:pPr>
        <w:jc w:val="center"/>
        <w:rPr>
          <w:rFonts w:hint="eastAsia" w:ascii="Arial" w:hAnsi="Arial" w:cs="Arial"/>
          <w:b/>
          <w:kern w:val="0"/>
          <w:sz w:val="44"/>
          <w:szCs w:val="44"/>
        </w:rPr>
      </w:pP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9153K</w:t>
      </w:r>
      <w:r>
        <w:rPr>
          <w:rFonts w:hint="eastAsia" w:ascii="Arial" w:hAnsi="Arial" w:cs="Arial"/>
          <w:b/>
          <w:kern w:val="0"/>
          <w:sz w:val="44"/>
          <w:szCs w:val="44"/>
        </w:rPr>
        <w:t>W电站方案</w:t>
      </w:r>
    </w:p>
    <w:p>
      <w:pPr>
        <w:jc w:val="center"/>
        <w:rPr>
          <w:rFonts w:hint="default" w:ascii="Arial" w:hAnsi="Arial" w:cs="Arial"/>
          <w:b/>
          <w:kern w:val="0"/>
          <w:sz w:val="44"/>
          <w:szCs w:val="44"/>
          <w:lang w:val="en-US"/>
        </w:rPr>
      </w:pP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(202</w:t>
      </w:r>
      <w:r>
        <w:rPr>
          <w:rFonts w:hint="eastAsia" w:ascii="Arial" w:hAnsi="Arial" w:cs="Arial"/>
          <w:b/>
          <w:kern w:val="0"/>
          <w:sz w:val="44"/>
          <w:szCs w:val="44"/>
          <w:lang w:val="en-US" w:eastAsia="zh-CN"/>
        </w:rPr>
        <w:t>30717</w:t>
      </w:r>
      <w:r>
        <w:rPr>
          <w:rFonts w:hint="default" w:ascii="Arial" w:hAnsi="Arial" w:cs="Arial"/>
          <w:b/>
          <w:kern w:val="0"/>
          <w:sz w:val="44"/>
          <w:szCs w:val="44"/>
          <w:lang w:val="en-US"/>
        </w:rPr>
        <w:t>)</w:t>
      </w:r>
    </w:p>
    <w:p>
      <w:pPr>
        <w:widowControl/>
        <w:spacing w:line="207" w:lineRule="atLeast"/>
        <w:jc w:val="both"/>
        <w:rPr>
          <w:rFonts w:hint="default" w:ascii="Arial" w:hAnsi="Arial" w:eastAsia="宋体" w:cs="Arial"/>
          <w:b/>
          <w:bCs/>
          <w:kern w:val="0"/>
          <w:sz w:val="14"/>
          <w:szCs w:val="14"/>
          <w:lang w:val="en-US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  <w:r>
        <w:rPr>
          <w:rFonts w:hint="eastAsia" w:ascii="Arial" w:hAnsi="Arial" w:eastAsia="宋体" w:cs="Arial"/>
          <w:b/>
          <w:bCs/>
          <w:kern w:val="0"/>
          <w:sz w:val="14"/>
          <w:szCs w:val="14"/>
        </w:rPr>
        <w:drawing>
          <wp:inline distT="0" distB="0" distL="0" distR="0">
            <wp:extent cx="4495800" cy="3019425"/>
            <wp:effectExtent l="1905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5" cy="302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14"/>
          <w:szCs w:val="14"/>
        </w:rPr>
      </w:pPr>
    </w:p>
    <w:p>
      <w:pPr>
        <w:widowControl/>
        <w:spacing w:line="207" w:lineRule="atLeast"/>
        <w:jc w:val="center"/>
        <w:rPr>
          <w:rFonts w:ascii="Arial" w:hAnsi="Arial" w:eastAsia="宋体" w:cs="Arial"/>
          <w:b/>
          <w:bCs/>
          <w:kern w:val="0"/>
          <w:sz w:val="44"/>
          <w:szCs w:val="44"/>
        </w:rPr>
      </w:pPr>
      <w:r>
        <w:rPr>
          <w:rFonts w:ascii="Arial" w:hAnsi="Arial" w:eastAsia="宋体" w:cs="Arial"/>
          <w:b/>
          <w:bCs/>
          <w:kern w:val="0"/>
          <w:sz w:val="44"/>
          <w:szCs w:val="44"/>
        </w:rPr>
        <w:t> </w:t>
      </w:r>
    </w:p>
    <w:p>
      <w:pPr>
        <w:widowControl/>
        <w:jc w:val="left"/>
      </w:pPr>
      <w:r>
        <w:br w:type="page"/>
      </w:r>
      <w:r>
        <w:fldChar w:fldCharType="begin"/>
      </w:r>
      <w:r>
        <w:instrText xml:space="preserve"> TOC \o "1-3" \h \z \u </w:instrText>
      </w:r>
      <w:r>
        <w:fldChar w:fldCharType="separate"/>
      </w:r>
    </w:p>
    <w:p>
      <w:pPr>
        <w:pStyle w:val="14"/>
        <w:rPr>
          <w:rStyle w:val="24"/>
        </w:rPr>
      </w:pPr>
      <w:r>
        <w:rPr>
          <w:rStyle w:val="24"/>
          <w:rFonts w:hint="eastAsia"/>
        </w:rPr>
        <w:t>CONTENT目录</w:t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"_Toc478801098" </w:instrText>
      </w:r>
      <w:r>
        <w:fldChar w:fldCharType="separate"/>
      </w:r>
      <w:r>
        <w:rPr>
          <w:rStyle w:val="24"/>
          <w:kern w:val="0"/>
        </w:rPr>
        <w:t>1. GENERAL DESCRIPTION</w:t>
      </w:r>
      <w:r>
        <w:rPr>
          <w:rStyle w:val="24"/>
          <w:rFonts w:hint="eastAsia"/>
          <w:kern w:val="0"/>
        </w:rPr>
        <w:t>总则</w:t>
      </w:r>
      <w:r>
        <w:tab/>
      </w:r>
      <w:r>
        <w:fldChar w:fldCharType="begin"/>
      </w:r>
      <w:r>
        <w:instrText xml:space="preserve"> PAGEREF _Toc478801098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"_Toc478801099" </w:instrText>
      </w:r>
      <w:r>
        <w:fldChar w:fldCharType="separate"/>
      </w:r>
      <w:r>
        <w:rPr>
          <w:rStyle w:val="24"/>
          <w:kern w:val="0"/>
        </w:rPr>
        <w:t>1.1 GENERAL</w:t>
      </w:r>
      <w:r>
        <w:rPr>
          <w:rStyle w:val="24"/>
          <w:rFonts w:hint="eastAsia"/>
          <w:kern w:val="0"/>
        </w:rPr>
        <w:t>综述</w:t>
      </w:r>
      <w:r>
        <w:tab/>
      </w:r>
      <w:r>
        <w:fldChar w:fldCharType="begin"/>
      </w:r>
      <w:r>
        <w:instrText xml:space="preserve"> PAGEREF _Toc478801099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"_Toc478801100" </w:instrText>
      </w:r>
      <w:r>
        <w:fldChar w:fldCharType="separate"/>
      </w:r>
      <w:r>
        <w:rPr>
          <w:rStyle w:val="24"/>
          <w:kern w:val="0"/>
        </w:rPr>
        <w:t>1.2 DESIGN CONDITION AND PERFORMANCE DATA</w:t>
      </w:r>
      <w:r>
        <w:rPr>
          <w:rStyle w:val="24"/>
          <w:rFonts w:hint="eastAsia"/>
          <w:kern w:val="0"/>
        </w:rPr>
        <w:t>设计条件和工作特性</w:t>
      </w:r>
      <w:r>
        <w:tab/>
      </w:r>
      <w:r>
        <w:fldChar w:fldCharType="begin"/>
      </w:r>
      <w:r>
        <w:instrText xml:space="preserve"> PAGEREF _Toc478801100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"_Toc478801101" </w:instrText>
      </w:r>
      <w:r>
        <w:fldChar w:fldCharType="separate"/>
      </w:r>
      <w:r>
        <w:rPr>
          <w:rStyle w:val="24"/>
          <w:kern w:val="0"/>
        </w:rPr>
        <w:t>1.3 FUEL OIL FOR ENGINE</w:t>
      </w:r>
      <w:r>
        <w:rPr>
          <w:rStyle w:val="24"/>
          <w:rFonts w:hint="eastAsia"/>
          <w:kern w:val="0"/>
        </w:rPr>
        <w:t>发动机用的燃油</w:t>
      </w:r>
      <w:r>
        <w:tab/>
      </w:r>
      <w:r>
        <w:fldChar w:fldCharType="begin"/>
      </w:r>
      <w:r>
        <w:instrText xml:space="preserve"> PAGEREF _Toc478801101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"_Toc478801102" </w:instrText>
      </w:r>
      <w:r>
        <w:fldChar w:fldCharType="separate"/>
      </w:r>
      <w:r>
        <w:rPr>
          <w:rStyle w:val="24"/>
          <w:kern w:val="0"/>
        </w:rPr>
        <w:t>1.4 LUBRICATING OIL FOR ENGINE</w:t>
      </w:r>
      <w:r>
        <w:rPr>
          <w:rStyle w:val="24"/>
          <w:rFonts w:hint="eastAsia"/>
          <w:kern w:val="0"/>
        </w:rPr>
        <w:t>发动机用的润滑油</w:t>
      </w:r>
      <w:r>
        <w:tab/>
      </w:r>
      <w:r>
        <w:fldChar w:fldCharType="begin"/>
      </w:r>
      <w:r>
        <w:instrText xml:space="preserve"> PAGEREF _Toc478801102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"_Toc478801103" </w:instrText>
      </w:r>
      <w:r>
        <w:fldChar w:fldCharType="separate"/>
      </w:r>
      <w:r>
        <w:rPr>
          <w:rStyle w:val="24"/>
          <w:kern w:val="0"/>
        </w:rPr>
        <w:t>1.5 COOLING WATER FOR ENGINE</w:t>
      </w:r>
      <w:r>
        <w:rPr>
          <w:rStyle w:val="24"/>
          <w:rFonts w:hint="eastAsia"/>
          <w:kern w:val="0"/>
        </w:rPr>
        <w:t>发动机冷却水</w:t>
      </w:r>
      <w:r>
        <w:tab/>
      </w:r>
      <w:r>
        <w:fldChar w:fldCharType="begin"/>
      </w:r>
      <w:r>
        <w:instrText xml:space="preserve"> PAGEREF _Toc478801103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"_Toc478801104" </w:instrText>
      </w:r>
      <w:r>
        <w:fldChar w:fldCharType="separate"/>
      </w:r>
      <w:r>
        <w:rPr>
          <w:rStyle w:val="24"/>
          <w:kern w:val="0"/>
        </w:rPr>
        <w:t>1.6 STANDARDS</w:t>
      </w:r>
      <w:r>
        <w:rPr>
          <w:rStyle w:val="24"/>
          <w:rFonts w:hint="eastAsia"/>
          <w:kern w:val="0"/>
        </w:rPr>
        <w:t>标准</w:t>
      </w:r>
      <w:r>
        <w:tab/>
      </w:r>
      <w:r>
        <w:fldChar w:fldCharType="begin"/>
      </w:r>
      <w:r>
        <w:instrText xml:space="preserve"> PAGEREF _Toc478801104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"_Toc478801105" </w:instrText>
      </w:r>
      <w:r>
        <w:fldChar w:fldCharType="separate"/>
      </w:r>
      <w:r>
        <w:rPr>
          <w:rStyle w:val="24"/>
          <w:kern w:val="0"/>
        </w:rPr>
        <w:t>1.7 UNIT AND LANGUAGE</w:t>
      </w:r>
      <w:r>
        <w:rPr>
          <w:rStyle w:val="24"/>
          <w:rFonts w:hint="eastAsia"/>
          <w:kern w:val="0"/>
        </w:rPr>
        <w:t>单位和语言</w:t>
      </w:r>
      <w:r>
        <w:tab/>
      </w:r>
      <w:r>
        <w:fldChar w:fldCharType="begin"/>
      </w:r>
      <w:r>
        <w:instrText xml:space="preserve"> PAGEREF _Toc478801105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"_Toc478801106" </w:instrText>
      </w:r>
      <w:r>
        <w:fldChar w:fldCharType="separate"/>
      </w:r>
      <w:r>
        <w:rPr>
          <w:rStyle w:val="24"/>
          <w:kern w:val="0"/>
        </w:rPr>
        <w:t>1.8 TEST AND INSPECTION</w:t>
      </w:r>
      <w:r>
        <w:rPr>
          <w:rStyle w:val="24"/>
          <w:rFonts w:hint="eastAsia"/>
          <w:kern w:val="0"/>
        </w:rPr>
        <w:t>测试和检验</w:t>
      </w:r>
      <w:r>
        <w:tab/>
      </w:r>
      <w:r>
        <w:fldChar w:fldCharType="begin"/>
      </w:r>
      <w:r>
        <w:instrText xml:space="preserve"> PAGEREF _Toc478801106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"_Toc478801107" </w:instrText>
      </w:r>
      <w:r>
        <w:fldChar w:fldCharType="separate"/>
      </w:r>
      <w:r>
        <w:rPr>
          <w:rStyle w:val="24"/>
          <w:kern w:val="0"/>
        </w:rPr>
        <w:t>1.9 PAINTING</w:t>
      </w:r>
      <w:r>
        <w:rPr>
          <w:rStyle w:val="24"/>
          <w:rFonts w:hint="eastAsia"/>
          <w:kern w:val="0"/>
        </w:rPr>
        <w:t>涂装</w:t>
      </w:r>
      <w:r>
        <w:tab/>
      </w:r>
      <w:r>
        <w:fldChar w:fldCharType="begin"/>
      </w:r>
      <w:r>
        <w:instrText xml:space="preserve"> PAGEREF _Toc478801107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"_Toc478801108" </w:instrText>
      </w:r>
      <w:r>
        <w:fldChar w:fldCharType="separate"/>
      </w:r>
      <w:r>
        <w:rPr>
          <w:rStyle w:val="24"/>
        </w:rPr>
        <w:t>2. CONFIGURE OF POWER PLANT SYSTEM</w:t>
      </w:r>
      <w:r>
        <w:rPr>
          <w:rStyle w:val="24"/>
          <w:rFonts w:hint="eastAsia"/>
        </w:rPr>
        <w:t>电站系统配置</w:t>
      </w:r>
      <w:r>
        <w:tab/>
      </w:r>
      <w:r>
        <w:fldChar w:fldCharType="begin"/>
      </w:r>
      <w:r>
        <w:instrText xml:space="preserve"> PAGEREF _Toc478801108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"_Toc478801109" </w:instrText>
      </w:r>
      <w:r>
        <w:fldChar w:fldCharType="separate"/>
      </w:r>
      <w:r>
        <w:rPr>
          <w:rStyle w:val="24"/>
        </w:rPr>
        <w:t>2.1 GENERATING SETS</w:t>
      </w:r>
      <w:r>
        <w:rPr>
          <w:rStyle w:val="24"/>
          <w:rFonts w:hint="eastAsia"/>
        </w:rPr>
        <w:t>发电机组</w:t>
      </w:r>
      <w:r>
        <w:tab/>
      </w:r>
      <w:r>
        <w:fldChar w:fldCharType="begin"/>
      </w:r>
      <w:r>
        <w:instrText xml:space="preserve"> PAGEREF _Toc478801109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"_Toc478801110" </w:instrText>
      </w:r>
      <w:r>
        <w:fldChar w:fldCharType="separate"/>
      </w:r>
      <w:r>
        <w:rPr>
          <w:rStyle w:val="24"/>
          <w:kern w:val="0"/>
        </w:rPr>
        <w:t>2.2MECHANICAL AUXILIARY SYSTEM</w:t>
      </w:r>
      <w:r>
        <w:rPr>
          <w:rStyle w:val="24"/>
          <w:rFonts w:hint="eastAsia"/>
          <w:kern w:val="0"/>
        </w:rPr>
        <w:t>机械辅助系统</w:t>
      </w:r>
      <w:r>
        <w:tab/>
      </w:r>
      <w:r>
        <w:fldChar w:fldCharType="begin"/>
      </w:r>
      <w:r>
        <w:instrText xml:space="preserve"> PAGEREF _Toc478801110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2"/>
        </w:tabs>
      </w:pPr>
      <w:r>
        <w:fldChar w:fldCharType="begin"/>
      </w:r>
      <w:r>
        <w:instrText xml:space="preserve"> HYPERLINK \l "_Toc478801111" </w:instrText>
      </w:r>
      <w:r>
        <w:fldChar w:fldCharType="separate"/>
      </w:r>
      <w:r>
        <w:rPr>
          <w:rStyle w:val="24"/>
        </w:rPr>
        <w:t>2.3 ELECTRICAL AUXILIARY SYSTEM</w:t>
      </w:r>
      <w:r>
        <w:rPr>
          <w:rStyle w:val="24"/>
          <w:rFonts w:hint="eastAsia"/>
        </w:rPr>
        <w:t>电气系统</w:t>
      </w:r>
      <w:r>
        <w:tab/>
      </w:r>
      <w:r>
        <w:fldChar w:fldCharType="begin"/>
      </w:r>
      <w:r>
        <w:instrText xml:space="preserve"> PAGEREF _Toc478801111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4"/>
        <w:rPr>
          <w:sz w:val="21"/>
          <w:szCs w:val="22"/>
        </w:rPr>
      </w:pPr>
      <w:r>
        <w:fldChar w:fldCharType="begin"/>
      </w:r>
      <w:r>
        <w:instrText xml:space="preserve"> HYPERLINK \l "_Toc478801112" </w:instrText>
      </w:r>
      <w:r>
        <w:fldChar w:fldCharType="separate"/>
      </w:r>
      <w:r>
        <w:rPr>
          <w:rStyle w:val="24"/>
          <w:kern w:val="0"/>
        </w:rPr>
        <w:t>3.SCOPE OF SUPPLY</w:t>
      </w:r>
      <w:r>
        <w:rPr>
          <w:rStyle w:val="24"/>
          <w:rFonts w:hint="eastAsia"/>
          <w:kern w:val="0"/>
        </w:rPr>
        <w:t>供货范围</w:t>
      </w:r>
      <w:r>
        <w:tab/>
      </w:r>
      <w:r>
        <w:fldChar w:fldCharType="begin"/>
      </w:r>
      <w:r>
        <w:instrText xml:space="preserve"> PAGEREF _Toc478801112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widowControl/>
        <w:jc w:val="left"/>
      </w:pPr>
      <w:r>
        <w:fldChar w:fldCharType="end"/>
      </w:r>
    </w:p>
    <w:p>
      <w:pPr>
        <w:widowControl/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br w:type="page"/>
      </w:r>
    </w:p>
    <w:p>
      <w:pPr>
        <w:pStyle w:val="2"/>
        <w:numPr>
          <w:ilvl w:val="0"/>
          <w:numId w:val="1"/>
        </w:numPr>
        <w:rPr>
          <w:rFonts w:hint="eastAsia"/>
          <w:kern w:val="0"/>
          <w:sz w:val="32"/>
          <w:szCs w:val="32"/>
        </w:rPr>
      </w:pPr>
      <w:bookmarkStart w:id="0" w:name="_Toc478801098"/>
      <w:bookmarkStart w:id="1" w:name="_Toc240166688"/>
      <w:bookmarkStart w:id="2" w:name="_Toc381727387"/>
      <w:r>
        <w:rPr>
          <w:kern w:val="0"/>
          <w:sz w:val="32"/>
          <w:szCs w:val="32"/>
        </w:rPr>
        <w:t>GENERAL DESCRIPTION</w:t>
      </w:r>
      <w:r>
        <w:rPr>
          <w:rFonts w:hint="eastAsia"/>
          <w:kern w:val="0"/>
          <w:sz w:val="32"/>
          <w:szCs w:val="32"/>
        </w:rPr>
        <w:t>总则</w:t>
      </w:r>
      <w:bookmarkEnd w:id="0"/>
      <w:bookmarkStart w:id="3" w:name="OLE_LINK1"/>
      <w:bookmarkStart w:id="4" w:name="OLE_LINK2"/>
    </w:p>
    <w:p>
      <w:pPr>
        <w:bidi w:val="0"/>
        <w:rPr>
          <w:rFonts w:hint="eastAsia"/>
        </w:rPr>
      </w:pPr>
      <w:bookmarkStart w:id="5" w:name="_Toc478801099"/>
      <w:r>
        <w:rPr>
          <w:rFonts w:hint="eastAsia"/>
        </w:rPr>
        <w:t>1.1 GENERAL综述</w:t>
      </w:r>
      <w:bookmarkEnd w:id="5"/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</w:rPr>
        <w:t>（1）</w:t>
      </w:r>
      <w:r>
        <w:rPr>
          <w:rFonts w:hint="eastAsia"/>
          <w:lang w:val="en-US"/>
        </w:rPr>
        <w:t>S</w:t>
      </w:r>
      <w:r>
        <w:rPr>
          <w:rFonts w:hint="eastAsia"/>
        </w:rPr>
        <w:t>cheme</w:t>
      </w:r>
      <w:r>
        <w:rPr>
          <w:rFonts w:hint="eastAsia"/>
          <w:lang w:val="en-US"/>
        </w:rPr>
        <w:t xml:space="preserve"> For </w:t>
      </w:r>
      <w:r>
        <w:rPr>
          <w:rFonts w:hint="eastAsia"/>
        </w:rPr>
        <w:t>Power plant 电站</w:t>
      </w:r>
      <w:r>
        <w:rPr>
          <w:rFonts w:hint="eastAsia"/>
          <w:lang w:val="en-US"/>
        </w:rPr>
        <w:t>方案</w:t>
      </w:r>
      <w:r>
        <w:rPr>
          <w:rFonts w:hint="eastAsia"/>
          <w:lang w:val="en-US" w:eastAsia="zh-CN"/>
        </w:rPr>
        <w:t>.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According to user requirements: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One Mitsubishi 18KU30B,9153KVAW generator set.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Total power :9153KW 6.6KV 60HZ</w:t>
      </w:r>
    </w:p>
    <w:p>
      <w:pPr>
        <w:bidi w:val="0"/>
        <w:rPr>
          <w:rFonts w:hint="default"/>
          <w:lang w:val="en-US"/>
        </w:rPr>
      </w:pPr>
      <w:r>
        <w:rPr>
          <w:rFonts w:hint="eastAsia"/>
        </w:rPr>
        <w:t>根据用户要求</w:t>
      </w:r>
      <w:r>
        <w:rPr>
          <w:rFonts w:hint="eastAsia"/>
          <w:lang w:val="en-US"/>
        </w:rPr>
        <w:t>:</w:t>
      </w:r>
    </w:p>
    <w:p>
      <w:pPr>
        <w:bidi w:val="0"/>
        <w:rPr>
          <w:rFonts w:hint="eastAsia"/>
          <w:lang w:val="en-US"/>
        </w:rPr>
      </w:pPr>
      <w:r>
        <w:rPr>
          <w:rFonts w:hint="default"/>
          <w:lang w:val="en-US"/>
        </w:rPr>
        <w:t>1</w:t>
      </w:r>
      <w:r>
        <w:rPr>
          <w:rFonts w:hint="eastAsia"/>
          <w:lang w:val="en-US"/>
        </w:rPr>
        <w:t>台三菱</w:t>
      </w:r>
      <w:r>
        <w:rPr>
          <w:rFonts w:hint="default"/>
          <w:lang w:val="en-US"/>
        </w:rPr>
        <w:t>18</w:t>
      </w:r>
      <w:r>
        <w:rPr>
          <w:rFonts w:hint="eastAsia"/>
          <w:lang w:val="en-US"/>
        </w:rPr>
        <w:t>KU30B</w:t>
      </w:r>
      <w:r>
        <w:rPr>
          <w:rFonts w:hint="default"/>
          <w:lang w:val="en-US"/>
        </w:rPr>
        <w:t xml:space="preserve"> ,</w:t>
      </w:r>
      <w:r>
        <w:rPr>
          <w:rFonts w:hint="eastAsia"/>
          <w:lang w:val="en-US" w:eastAsia="zh-CN"/>
        </w:rPr>
        <w:t>9153KVA</w:t>
      </w:r>
      <w:r>
        <w:rPr>
          <w:rFonts w:hint="default"/>
          <w:lang w:val="en-US"/>
        </w:rPr>
        <w:t>W</w:t>
      </w:r>
      <w:r>
        <w:rPr>
          <w:rFonts w:hint="eastAsia"/>
          <w:lang w:val="en-US"/>
        </w:rPr>
        <w:t>发电机组组成.</w:t>
      </w:r>
    </w:p>
    <w:p>
      <w:pPr>
        <w:bidi w:val="0"/>
        <w:rPr>
          <w:rFonts w:hint="default" w:eastAsiaTheme="minorEastAsia"/>
          <w:lang w:val="en-US" w:eastAsia="zh-CN"/>
        </w:rPr>
      </w:pPr>
      <w:r>
        <w:rPr>
          <w:rFonts w:hint="default"/>
          <w:lang w:val="en-US"/>
        </w:rPr>
        <w:t>总功率:</w:t>
      </w:r>
      <w:r>
        <w:rPr>
          <w:rFonts w:hint="eastAsia"/>
          <w:lang w:val="en-US" w:eastAsia="zh-CN"/>
        </w:rPr>
        <w:t>9153K</w:t>
      </w:r>
      <w:r>
        <w:rPr>
          <w:rFonts w:hint="default"/>
          <w:lang w:val="en-US"/>
        </w:rPr>
        <w:t>W</w:t>
      </w:r>
      <w:r>
        <w:rPr>
          <w:rFonts w:hint="eastAsia"/>
          <w:lang w:val="en-US" w:eastAsia="zh-CN"/>
        </w:rPr>
        <w:t xml:space="preserve">  6.6KV 60HZ</w:t>
      </w:r>
    </w:p>
    <w:p>
      <w:pPr>
        <w:bidi w:val="0"/>
        <w:rPr>
          <w:rFonts w:hint="eastAsia"/>
          <w:lang w:val="en-US"/>
        </w:rPr>
      </w:pPr>
    </w:p>
    <w:bookmarkEnd w:id="3"/>
    <w:bookmarkEnd w:id="4"/>
    <w:p>
      <w:pPr>
        <w:autoSpaceDE w:val="0"/>
        <w:autoSpaceDN w:val="0"/>
        <w:adjustRightInd w:val="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6" w:name="_Toc478801100"/>
      <w:r>
        <w:rPr>
          <w:kern w:val="0"/>
          <w:sz w:val="28"/>
          <w:szCs w:val="28"/>
        </w:rPr>
        <w:t>1.2 DESIGN CONDITION AND PERFORMANCE DATA</w:t>
      </w:r>
      <w:r>
        <w:rPr>
          <w:rFonts w:hint="eastAsia"/>
          <w:kern w:val="0"/>
          <w:sz w:val="28"/>
          <w:szCs w:val="28"/>
        </w:rPr>
        <w:t>设计条件和工作特性</w:t>
      </w:r>
      <w:bookmarkEnd w:id="6"/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DESIGN AMBIENT CONDITION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Refer to ISO 3046</w:t>
      </w:r>
      <w:r>
        <w:rPr>
          <w:rFonts w:hint="eastAsia" w:ascii="Arial" w:hAnsi="Arial" w:cs="Arial"/>
          <w:kern w:val="0"/>
          <w:sz w:val="18"/>
          <w:szCs w:val="18"/>
        </w:rPr>
        <w:t xml:space="preserve"> 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The standard environmental condition</w:t>
      </w:r>
      <w:r>
        <w:rPr>
          <w:rFonts w:hint="eastAsia" w:ascii="Arial" w:hAnsi="Arial" w:cs="Arial"/>
          <w:kern w:val="0"/>
          <w:sz w:val="18"/>
          <w:szCs w:val="18"/>
        </w:rPr>
        <w:t>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bookmarkStart w:id="7" w:name="OLE_LINK3"/>
            <w:bookmarkStart w:id="8" w:name="OLE_LINK4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Environmental temperature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bookmarkStart w:id="9" w:name="OLE_LINK6"/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  <w:bookmarkEnd w:id="9"/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Barometric pressure 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RH (relative humidity)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Gross Output AT Generator Terminal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9153K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ascii="ArialMT" w:hAnsi="ArialMT" w:cs="ArialMT"/>
                <w:kern w:val="0"/>
                <w:sz w:val="18"/>
                <w:szCs w:val="18"/>
              </w:rPr>
              <w:t>Fuel consumption at Generator Terminal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Note: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Tolerance + 5%, LCV= 42700 kJ/kg, Load 100%, 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Hz, PF = 0.8</w:t>
            </w:r>
          </w:p>
        </w:tc>
      </w:tr>
      <w:bookmarkEnd w:id="7"/>
      <w:bookmarkEnd w:id="8"/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9"/>
          <w:szCs w:val="19"/>
        </w:rPr>
      </w:pP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Cs w:val="21"/>
        </w:rPr>
      </w:pPr>
      <w:r>
        <w:rPr>
          <w:rFonts w:ascii="Arial" w:hAnsi="Arial" w:cs="Arial"/>
          <w:b/>
          <w:bCs/>
          <w:kern w:val="0"/>
          <w:szCs w:val="21"/>
        </w:rPr>
        <w:t>(1)</w:t>
      </w:r>
      <w:r>
        <w:rPr>
          <w:rFonts w:hint="eastAsia" w:ascii="Arial" w:hAnsi="Arial" w:cs="Arial"/>
          <w:b/>
          <w:bCs/>
          <w:kern w:val="0"/>
          <w:szCs w:val="21"/>
        </w:rPr>
        <w:t>设计环境条件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参考</w:t>
      </w:r>
      <w:r>
        <w:rPr>
          <w:rFonts w:ascii="Arial" w:hAnsi="Arial" w:cs="Arial"/>
          <w:kern w:val="0"/>
          <w:sz w:val="18"/>
          <w:szCs w:val="18"/>
        </w:rPr>
        <w:t>ISO 3046</w:t>
      </w:r>
    </w:p>
    <w:p>
      <w:pPr>
        <w:spacing w:beforeLines="50"/>
        <w:ind w:left="420" w:leftChars="200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Arial" w:hAnsi="Arial" w:cs="Arial"/>
          <w:kern w:val="0"/>
          <w:sz w:val="18"/>
          <w:szCs w:val="18"/>
        </w:rPr>
        <w:t>标准环境条件: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403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大气压力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相对湿度</w:t>
            </w:r>
          </w:p>
        </w:tc>
        <w:tc>
          <w:tcPr>
            <w:tcW w:w="4031" w:type="dxa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  <w:r>
              <w:rPr>
                <w:rFonts w:cs="Arial" w:asciiTheme="minorEastAsia" w:hAnsiTheme="minorEastAsia"/>
                <w:kern w:val="0"/>
                <w:sz w:val="18"/>
                <w:szCs w:val="18"/>
              </w:rPr>
              <w:t>％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发电机端总输出功率</w:t>
            </w:r>
          </w:p>
        </w:tc>
        <w:tc>
          <w:tcPr>
            <w:tcW w:w="4031" w:type="dxa"/>
            <w:vAlign w:val="center"/>
          </w:tcPr>
          <w:p>
            <w:pPr>
              <w:pStyle w:val="28"/>
              <w:ind w:firstLine="0" w:firstLineChars="0"/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9153K</w:t>
            </w:r>
            <w:r>
              <w:rPr>
                <w:rFonts w:hint="default" w:ascii="Arial" w:hAnsi="Arial" w:cs="Arial"/>
                <w:kern w:val="0"/>
                <w:sz w:val="18"/>
                <w:szCs w:val="18"/>
                <w:lang w:val="en-US"/>
              </w:rPr>
              <w:t>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1" w:type="dxa"/>
            <w:vAlign w:val="center"/>
          </w:tcPr>
          <w:p>
            <w:pPr>
              <w:pStyle w:val="28"/>
              <w:ind w:firstLine="0" w:firstLineChars="0"/>
              <w:rPr>
                <w:rFonts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发电机端的燃油消耗率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注：公差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+ 5%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，低热值=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42700 kJ/kg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 xml:space="preserve"> 100%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负荷，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0 Hz</w:t>
            </w: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，</w:t>
            </w:r>
            <w:r>
              <w:rPr>
                <w:rFonts w:ascii="ArialMT" w:hAnsi="ArialMT" w:cs="ArialMT"/>
                <w:kern w:val="0"/>
                <w:sz w:val="18"/>
                <w:szCs w:val="18"/>
              </w:rPr>
              <w:t>PF = 0.8</w:t>
            </w: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0" w:name="_Toc478801101"/>
      <w:r>
        <w:rPr>
          <w:kern w:val="0"/>
          <w:sz w:val="28"/>
          <w:szCs w:val="28"/>
        </w:rPr>
        <w:t>1.3 FUEL OIL FOR ENGINE</w:t>
      </w:r>
      <w:r>
        <w:rPr>
          <w:rFonts w:hint="eastAsia"/>
          <w:kern w:val="0"/>
          <w:sz w:val="28"/>
          <w:szCs w:val="28"/>
        </w:rPr>
        <w:t>发动机用的燃油</w:t>
      </w:r>
      <w:bookmarkEnd w:id="10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hint="default" w:ascii="ArialMT" w:hAnsi="ArialMT" w:cs="ArialMT"/>
          <w:kern w:val="0"/>
          <w:sz w:val="18"/>
          <w:szCs w:val="18"/>
          <w:lang w:val="en-US"/>
        </w:rPr>
      </w:pPr>
      <w:r>
        <w:rPr>
          <w:rFonts w:ascii="ArialMT" w:hAnsi="ArialMT" w:cs="ArialMT"/>
          <w:kern w:val="0"/>
          <w:sz w:val="18"/>
          <w:szCs w:val="18"/>
        </w:rPr>
        <w:t>(</w:t>
      </w:r>
      <w:r>
        <w:rPr>
          <w:rFonts w:hint="eastAsia" w:ascii="ArialMT" w:hAnsi="ArialMT" w:cs="ArialMT"/>
          <w:kern w:val="0"/>
          <w:sz w:val="18"/>
          <w:szCs w:val="18"/>
        </w:rPr>
        <w:t>1</w:t>
      </w:r>
      <w:r>
        <w:rPr>
          <w:rFonts w:ascii="ArialMT" w:hAnsi="ArialMT" w:cs="ArialMT"/>
          <w:kern w:val="0"/>
          <w:sz w:val="18"/>
          <w:szCs w:val="18"/>
        </w:rPr>
        <w:t xml:space="preserve">)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HFO and DO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viscosity of Diesel oil shall be of</w:t>
      </w:r>
      <w:r>
        <w:rPr>
          <w:rFonts w:hint="eastAsia" w:ascii="ArialMT" w:hAnsi="ArialMT" w:cs="ArialMT"/>
          <w:kern w:val="0"/>
          <w:sz w:val="18"/>
          <w:szCs w:val="18"/>
        </w:rPr>
        <w:t>≥</w:t>
      </w:r>
      <w:r>
        <w:rPr>
          <w:rFonts w:ascii="ArialMT" w:hAnsi="ArialMT" w:cs="ArialMT"/>
          <w:kern w:val="0"/>
          <w:sz w:val="18"/>
          <w:szCs w:val="18"/>
        </w:rPr>
        <w:t xml:space="preserve">2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 at Engine inlet under the power plant operating</w:t>
      </w:r>
      <w:r>
        <w:rPr>
          <w:rFonts w:hint="eastAsia" w:ascii="ArialMT" w:hAnsi="ArialMT" w:cs="ArialMT"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 (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ascii="ArialMT" w:hAnsi="ArialMT" w:cs="ArialMT"/>
          <w:kern w:val="0"/>
          <w:sz w:val="18"/>
          <w:szCs w:val="18"/>
        </w:rPr>
        <w:t>)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重油/</w:t>
      </w:r>
      <w:r>
        <w:rPr>
          <w:rFonts w:hint="eastAsia" w:ascii="ArialMT" w:hAnsi="ArialMT" w:cs="ArialMT"/>
          <w:b/>
          <w:kern w:val="0"/>
          <w:sz w:val="18"/>
          <w:szCs w:val="18"/>
        </w:rPr>
        <w:t>柴油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发动机运行时的柴油机进口柴油的粘度应该在≥</w:t>
      </w:r>
      <w:r>
        <w:rPr>
          <w:rFonts w:ascii="ArialMT" w:hAnsi="ArialMT" w:cs="ArialMT"/>
          <w:kern w:val="0"/>
          <w:sz w:val="18"/>
          <w:szCs w:val="18"/>
        </w:rPr>
        <w:t>2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-15</w:t>
      </w:r>
      <w:r>
        <w:rPr>
          <w:rFonts w:ascii="ArialMT" w:hAnsi="ArialMT" w:cs="ArialMT"/>
          <w:kern w:val="0"/>
          <w:sz w:val="18"/>
          <w:szCs w:val="18"/>
        </w:rPr>
        <w:t>cSt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重油180燃料油质量标准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项 目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   </w:t>
      </w:r>
      <w:r>
        <w:rPr>
          <w:rFonts w:hint="eastAsia" w:ascii="ArialMT" w:hAnsi="ArialMT" w:cs="ArialMT"/>
          <w:kern w:val="0"/>
          <w:sz w:val="18"/>
          <w:szCs w:val="18"/>
        </w:rPr>
        <w:t>限 度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检验方法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密度（15℃，kg/l）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</w:t>
      </w:r>
      <w:r>
        <w:rPr>
          <w:rFonts w:hint="eastAsia" w:ascii="ArialMT" w:hAnsi="ArialMT" w:cs="ArialMT"/>
          <w:kern w:val="0"/>
          <w:sz w:val="18"/>
          <w:szCs w:val="18"/>
        </w:rPr>
        <w:t>不高于0.985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ASTM D1298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运动粘度（50℃，CST） 不高于180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D445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灰分（m/m，%）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</w:t>
      </w:r>
      <w:r>
        <w:rPr>
          <w:rFonts w:hint="eastAsia" w:ascii="ArialMT" w:hAnsi="ArialMT" w:cs="ArialMT"/>
          <w:kern w:val="0"/>
          <w:sz w:val="18"/>
          <w:szCs w:val="18"/>
        </w:rPr>
        <w:t>ASTM D482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残碳（m/m，%）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不高于14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D189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倾点（℃）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不高于24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ASTM D97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水分（V/V，%）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</w:t>
      </w:r>
      <w:r>
        <w:rPr>
          <w:rFonts w:hint="eastAsia" w:ascii="ArialMT" w:hAnsi="ArialMT" w:cs="ArialMT"/>
          <w:kern w:val="0"/>
          <w:sz w:val="18"/>
          <w:szCs w:val="18"/>
        </w:rPr>
        <w:t>不高于0.5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ASTM D95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闪点（℃）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 </w:t>
      </w:r>
      <w:r>
        <w:rPr>
          <w:rFonts w:hint="eastAsia" w:ascii="ArialMT" w:hAnsi="ArialMT" w:cs="ArialMT"/>
          <w:kern w:val="0"/>
          <w:sz w:val="18"/>
          <w:szCs w:val="18"/>
        </w:rPr>
        <w:t>不低于66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ASTM D93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含硫（m/m，%）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不高于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1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.5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       </w:t>
      </w:r>
      <w:r>
        <w:rPr>
          <w:rFonts w:hint="eastAsia" w:ascii="ArialMT" w:hAnsi="ArialMT" w:cs="ArialMT"/>
          <w:kern w:val="0"/>
          <w:sz w:val="18"/>
          <w:szCs w:val="18"/>
        </w:rPr>
        <w:t>A STM D4294/D1552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 xml:space="preserve">总机械杂质含量（m/m,%） 不高于0.10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   </w:t>
      </w:r>
      <w:r>
        <w:rPr>
          <w:rFonts w:hint="eastAsia" w:ascii="ArialMT" w:hAnsi="ArialMT" w:cs="ArialMT"/>
          <w:kern w:val="0"/>
          <w:sz w:val="18"/>
          <w:szCs w:val="18"/>
        </w:rPr>
        <w:t>ASTM D4870</w:t>
      </w:r>
      <w:r>
        <w:rPr>
          <w:rFonts w:hint="eastAsia" w:ascii="ArialMT" w:hAnsi="ArialMT" w:cs="ArialMT"/>
          <w:kern w:val="0"/>
          <w:sz w:val="18"/>
          <w:szCs w:val="18"/>
        </w:rPr>
        <w:br w:type="textWrapping"/>
      </w:r>
      <w:r>
        <w:rPr>
          <w:rFonts w:hint="eastAsia" w:ascii="ArialMT" w:hAnsi="ArialMT" w:cs="ArialMT"/>
          <w:kern w:val="0"/>
          <w:sz w:val="18"/>
          <w:szCs w:val="18"/>
        </w:rPr>
        <w:t>钒含量（PPM） 不高于150 ICP</w:t>
      </w:r>
    </w:p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轻柴油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DO</w:t>
      </w:r>
    </w:p>
    <w:tbl>
      <w:tblPr>
        <w:tblStyle w:val="2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9"/>
        <w:gridCol w:w="1334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Component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Unit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比重 (15°C)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(30°C)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 xml:space="preserve"> 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粘度 (100°C)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cst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倾点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闪点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°C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硫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≤</w:t>
            </w:r>
            <w:r>
              <w:rPr>
                <w:rFonts w:hint="default" w:ascii="ArialMT" w:hAnsi="ArialMT" w:cs="ArialMT"/>
                <w:kern w:val="0"/>
                <w:sz w:val="18"/>
                <w:szCs w:val="18"/>
                <w:lang w:val="en-US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水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钠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钾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2.40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钒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ppm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3.17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铅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低热值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Kcal/kg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10140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灰尘</w:t>
            </w:r>
          </w:p>
        </w:tc>
        <w:tc>
          <w:tcPr>
            <w:tcW w:w="13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%wt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420" w:leftChars="200"/>
              <w:jc w:val="left"/>
              <w:rPr>
                <w:rFonts w:hint="eastAsia" w:ascii="ArialMT" w:hAnsi="ArialMT" w:cs="ArialMT"/>
                <w:kern w:val="0"/>
                <w:sz w:val="18"/>
                <w:szCs w:val="18"/>
              </w:rPr>
            </w:pPr>
            <w:r>
              <w:rPr>
                <w:rFonts w:hint="eastAsia" w:ascii="ArialMT" w:hAnsi="ArialMT" w:cs="ArialMT"/>
                <w:kern w:val="0"/>
                <w:sz w:val="18"/>
                <w:szCs w:val="18"/>
              </w:rPr>
              <w:t>微量</w:t>
            </w:r>
          </w:p>
        </w:tc>
      </w:tr>
    </w:tbl>
    <w:p>
      <w:pPr>
        <w:autoSpaceDE w:val="0"/>
        <w:autoSpaceDN w:val="0"/>
        <w:adjustRightInd w:val="0"/>
        <w:ind w:left="420" w:leftChars="200"/>
        <w:jc w:val="left"/>
        <w:rPr>
          <w:rFonts w:hint="eastAsia" w:ascii="ArialMT" w:hAnsi="ArialMT" w:cs="ArialMT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  <w:lang w:val="en-US" w:eastAsia="en-US"/>
        </w:rPr>
      </w:pPr>
    </w:p>
    <w:p>
      <w:pPr>
        <w:pStyle w:val="3"/>
        <w:rPr>
          <w:kern w:val="0"/>
          <w:sz w:val="28"/>
          <w:szCs w:val="28"/>
        </w:rPr>
      </w:pPr>
      <w:bookmarkStart w:id="11" w:name="_Toc478801102"/>
      <w:bookmarkStart w:id="34" w:name="_GoBack"/>
      <w:bookmarkEnd w:id="34"/>
      <w:r>
        <w:rPr>
          <w:kern w:val="0"/>
          <w:sz w:val="28"/>
          <w:szCs w:val="28"/>
        </w:rPr>
        <w:t>1.4 LUBRICATING OIL FOR ENGINE</w:t>
      </w:r>
      <w:r>
        <w:rPr>
          <w:rFonts w:hint="eastAsia"/>
          <w:kern w:val="0"/>
          <w:sz w:val="28"/>
          <w:szCs w:val="28"/>
        </w:rPr>
        <w:t>发动机用的润滑油</w:t>
      </w:r>
      <w:bookmarkEnd w:id="11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Lubricating oil for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engine shall be selected from the list of recommended lubricating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oil for engine, which shall be of SAE 40.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发动机用润滑油应该从发动机的推荐润滑油列表中选择，SAE 40。</w:t>
      </w:r>
    </w:p>
    <w:p>
      <w:pPr>
        <w:pStyle w:val="3"/>
        <w:rPr>
          <w:kern w:val="0"/>
          <w:sz w:val="28"/>
          <w:szCs w:val="28"/>
        </w:rPr>
      </w:pPr>
      <w:bookmarkStart w:id="12" w:name="_Toc478801103"/>
    </w:p>
    <w:p>
      <w:pPr>
        <w:pStyle w:val="3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1.5 COOLING WATER FOR ENGINE</w:t>
      </w:r>
      <w:r>
        <w:rPr>
          <w:rFonts w:hint="eastAsia"/>
          <w:kern w:val="0"/>
          <w:sz w:val="28"/>
          <w:szCs w:val="28"/>
        </w:rPr>
        <w:t>发动机冷却水</w:t>
      </w:r>
      <w:bookmarkEnd w:id="12"/>
    </w:p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cooling water system is designed for using normal fresh water with corrosion inhibitor,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in order to prevent incrustation and corrosion attack.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following water quality shall be valid: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For Engine (circulation water)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Property/ feature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Characteristics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Unit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Remark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Type of water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Distillate or freshwater, free  from foreign matter.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Not to be used: Sea water, brackish water, river water,  brines, industrial waste  water and rain water 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1) 1°dH (German hardness):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17.9mg 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Total hardness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PH-value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Chloride ion content 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为了防止水锈和腐蚀，冷却水系统采用带有防腐剂的淡水。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以下是水质要求</w:t>
      </w:r>
      <w:r>
        <w:rPr>
          <w:rFonts w:ascii="ArialMT" w:hAnsi="ArialMT" w:cs="ArialMT"/>
          <w:kern w:val="0"/>
          <w:sz w:val="18"/>
          <w:szCs w:val="18"/>
        </w:rPr>
        <w:t>: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  <w:u w:val="single"/>
        </w:rPr>
        <w:t>发动机（循环水）</w:t>
      </w:r>
    </w:p>
    <w:tbl>
      <w:tblPr>
        <w:tblStyle w:val="21"/>
        <w:tblW w:w="816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240"/>
        <w:gridCol w:w="1598"/>
        <w:gridCol w:w="2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8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水的类型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蒸馏水或淡水，无杂质。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不能用：海水、淡盐水、河水、卤水、工业废水和雨水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1) 1°dH (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>德国硬度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):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10mg CaO/litre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17.9mg</w:t>
            </w:r>
            <w:r>
              <w:rPr>
                <w:rFonts w:hint="eastAsia" w:ascii="HelveticaNeue-Roman" w:hAnsi="HelveticaNeue-Roman" w:cs="HelveticaNeue-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CaCO3/litre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0.357mval/litre</w:t>
            </w:r>
          </w:p>
          <w:p>
            <w:pPr>
              <w:autoSpaceDE w:val="0"/>
              <w:autoSpaceDN w:val="0"/>
              <w:adjustRightInd w:val="0"/>
              <w:ind w:left="210" w:leftChars="10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0.179mmol/litre</w:t>
            </w:r>
          </w:p>
          <w:p>
            <w:pPr>
              <w:autoSpaceDE w:val="0"/>
              <w:autoSpaceDN w:val="0"/>
              <w:adjustRightInd w:val="0"/>
              <w:spacing w:beforeLines="50" w:afterLines="50"/>
              <w:jc w:val="left"/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</w:pPr>
            <w:r>
              <w:rPr>
                <w:rFonts w:ascii="HelveticaNeue-Roman" w:hAnsi="HelveticaNeue-Roman" w:cs="HelveticaNeue-Roman"/>
                <w:kern w:val="0"/>
                <w:sz w:val="18"/>
                <w:szCs w:val="18"/>
              </w:rPr>
              <w:t>2) 1 mg/l 1 ppm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总硬度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max. 10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°dH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PH值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6.5 - 8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氯离子含量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max.50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mg/l 2)</w:t>
            </w:r>
          </w:p>
        </w:tc>
        <w:tc>
          <w:tcPr>
            <w:tcW w:w="2282" w:type="dxa"/>
            <w:vMerge w:val="continue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rPr>
          <w:kern w:val="0"/>
          <w:sz w:val="28"/>
          <w:szCs w:val="28"/>
        </w:rPr>
      </w:pPr>
      <w:bookmarkStart w:id="13" w:name="_Toc478801104"/>
      <w:r>
        <w:rPr>
          <w:kern w:val="0"/>
          <w:sz w:val="28"/>
          <w:szCs w:val="28"/>
        </w:rPr>
        <w:t>1.6 STANDARDS</w:t>
      </w:r>
      <w:r>
        <w:rPr>
          <w:rFonts w:hint="eastAsia"/>
          <w:kern w:val="0"/>
          <w:sz w:val="28"/>
          <w:szCs w:val="28"/>
        </w:rPr>
        <w:t>标准</w:t>
      </w:r>
      <w:bookmarkEnd w:id="13"/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Unless there are specified standards or codes, all design, manufacturing, quality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control and tests shall be in accordance with the applicable portions of below listed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prominent international and national Standards and Manufacturer's Standards :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Chinese standards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除非有规定的标准和编码，所有的设计、制造、质量控制和测试应该与以下列出的国际、国家标准和制造商保准一致。</w:t>
      </w:r>
    </w:p>
    <w:p>
      <w:pPr>
        <w:autoSpaceDE w:val="0"/>
        <w:autoSpaceDN w:val="0"/>
        <w:adjustRightInd w:val="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MAN </w:t>
      </w:r>
      <w:r>
        <w:rPr>
          <w:rFonts w:hint="eastAsia" w:ascii="ArialMT" w:hAnsi="ArialMT" w:cs="ArialMT"/>
          <w:kern w:val="0"/>
          <w:sz w:val="18"/>
          <w:szCs w:val="18"/>
        </w:rPr>
        <w:t>GB</w:t>
      </w:r>
      <w:r>
        <w:rPr>
          <w:rFonts w:ascii="ArialMT" w:hAnsi="ArialMT" w:cs="ArialMT"/>
          <w:kern w:val="0"/>
          <w:sz w:val="18"/>
          <w:szCs w:val="18"/>
        </w:rPr>
        <w:t xml:space="preserve"> 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  中国国家标准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</w:p>
    <w:p>
      <w:pPr>
        <w:pStyle w:val="3"/>
        <w:rPr>
          <w:kern w:val="0"/>
          <w:sz w:val="28"/>
          <w:szCs w:val="28"/>
        </w:rPr>
      </w:pPr>
      <w:bookmarkStart w:id="14" w:name="_Toc478801105"/>
      <w:r>
        <w:rPr>
          <w:kern w:val="0"/>
          <w:sz w:val="28"/>
          <w:szCs w:val="28"/>
        </w:rPr>
        <w:t>1.7 UNIT AND LANGUAGE</w:t>
      </w:r>
      <w:r>
        <w:rPr>
          <w:rFonts w:hint="eastAsia"/>
          <w:kern w:val="0"/>
          <w:sz w:val="28"/>
          <w:szCs w:val="28"/>
        </w:rPr>
        <w:t>单位和语言</w:t>
      </w:r>
      <w:bookmarkEnd w:id="14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(1) Units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In all correspondences of technical documents, schedules and drawings, metric units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of all measurements shall be used.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(2) Language 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The 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english </w:t>
      </w:r>
      <w:r>
        <w:rPr>
          <w:rFonts w:ascii="ArialMT" w:hAnsi="ArialMT" w:cs="ArialMT"/>
          <w:kern w:val="0"/>
          <w:sz w:val="18"/>
          <w:szCs w:val="18"/>
        </w:rPr>
        <w:t xml:space="preserve"> language shall be used in all documents, drawings, name plates and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correspondences between contractor and owner.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(1)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单位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所有来往的技术文档、计划表和图纸中的测量值均采用公制单位。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>(2)</w:t>
      </w:r>
      <w:r>
        <w:rPr>
          <w:rFonts w:hint="eastAsia" w:ascii="Arial" w:hAnsi="Arial" w:cs="Arial"/>
          <w:b/>
          <w:bCs/>
          <w:kern w:val="0"/>
          <w:sz w:val="19"/>
          <w:szCs w:val="19"/>
        </w:rPr>
        <w:t>语言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承包人和业主之间，所有的文档、图纸、铭牌和函件均应采用</w:t>
      </w:r>
      <w:r>
        <w:rPr>
          <w:rFonts w:hint="default" w:ascii="ArialMT" w:hAnsi="ArialMT" w:cs="ArialMT"/>
          <w:kern w:val="0"/>
          <w:sz w:val="18"/>
          <w:szCs w:val="18"/>
          <w:lang w:val="en-US"/>
        </w:rPr>
        <w:t>英文</w:t>
      </w:r>
      <w:r>
        <w:rPr>
          <w:rFonts w:hint="eastAsia" w:ascii="ArialMT" w:hAnsi="ArialMT" w:cs="ArialMT"/>
          <w:kern w:val="0"/>
          <w:sz w:val="18"/>
          <w:szCs w:val="18"/>
        </w:rPr>
        <w:t>。</w:t>
      </w:r>
    </w:p>
    <w:p>
      <w:pPr>
        <w:pStyle w:val="3"/>
        <w:rPr>
          <w:kern w:val="0"/>
          <w:sz w:val="28"/>
          <w:szCs w:val="28"/>
        </w:rPr>
      </w:pPr>
      <w:bookmarkStart w:id="15" w:name="_Toc478801106"/>
      <w:r>
        <w:rPr>
          <w:kern w:val="0"/>
          <w:sz w:val="28"/>
          <w:szCs w:val="28"/>
        </w:rPr>
        <w:t>1.8 TEST AND INSPECTION</w:t>
      </w:r>
      <w:r>
        <w:rPr>
          <w:rFonts w:hint="eastAsia"/>
          <w:kern w:val="0"/>
          <w:sz w:val="28"/>
          <w:szCs w:val="28"/>
        </w:rPr>
        <w:t>测试和检验</w:t>
      </w:r>
      <w:bookmarkEnd w:id="15"/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9"/>
          <w:szCs w:val="19"/>
        </w:rPr>
      </w:pPr>
      <w:r>
        <w:rPr>
          <w:rFonts w:ascii="Arial" w:hAnsi="Arial" w:cs="Arial"/>
          <w:b/>
          <w:bCs/>
          <w:kern w:val="0"/>
          <w:sz w:val="19"/>
          <w:szCs w:val="19"/>
        </w:rPr>
        <w:t xml:space="preserve">  Site test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Owner shall perform commissioning and start-up with Contractor's technical assistance.</w:t>
      </w:r>
      <w:r>
        <w:rPr>
          <w:rFonts w:hint="eastAsia" w:ascii="ArialMT" w:hAnsi="ArialMT" w:cs="ArialMT"/>
          <w:kern w:val="0"/>
          <w:sz w:val="18"/>
          <w:szCs w:val="18"/>
        </w:rPr>
        <w:t xml:space="preserve"> </w:t>
      </w:r>
      <w:r>
        <w:rPr>
          <w:rFonts w:ascii="ArialMT" w:hAnsi="ArialMT" w:cs="ArialMT"/>
          <w:kern w:val="0"/>
          <w:sz w:val="18"/>
          <w:szCs w:val="18"/>
        </w:rPr>
        <w:t>Followings shall be checked before or during commissioning;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Installation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Engine &amp; generator coupling and alignment check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Test to prove correct operation of interlocks, alarm and tripping circuits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Safety device check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The performance test procedure will be submitted to the Owner.</w:t>
      </w:r>
    </w:p>
    <w:p>
      <w:pPr>
        <w:autoSpaceDE w:val="0"/>
        <w:autoSpaceDN w:val="0"/>
        <w:adjustRightInd w:val="0"/>
        <w:spacing w:beforeLines="5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在承包商的技术支持下，业主完成调试和启动。在调试前和调试期间检查项目如下：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安装检查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发动机和发电机的连接和定位检查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测试为证明互锁、报警和脱扣的正确操作。</w:t>
      </w:r>
    </w:p>
    <w:p>
      <w:pPr>
        <w:autoSpaceDE w:val="0"/>
        <w:autoSpaceDN w:val="0"/>
        <w:adjustRightInd w:val="0"/>
        <w:ind w:left="1260" w:leftChars="6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</w:t>
      </w:r>
      <w:r>
        <w:rPr>
          <w:rFonts w:hint="eastAsia" w:ascii="ArialMT" w:hAnsi="ArialMT" w:cs="ArialMT"/>
          <w:kern w:val="0"/>
          <w:sz w:val="18"/>
          <w:szCs w:val="18"/>
        </w:rPr>
        <w:t>安全设备检查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性能测试程序提交业主。</w:t>
      </w:r>
    </w:p>
    <w:p>
      <w:pPr>
        <w:pStyle w:val="3"/>
        <w:rPr>
          <w:kern w:val="0"/>
          <w:sz w:val="28"/>
          <w:szCs w:val="28"/>
        </w:rPr>
      </w:pPr>
      <w:bookmarkStart w:id="16" w:name="_Toc478801107"/>
      <w:r>
        <w:rPr>
          <w:kern w:val="0"/>
          <w:sz w:val="28"/>
          <w:szCs w:val="28"/>
        </w:rPr>
        <w:t>1.9 PAINTING</w:t>
      </w:r>
      <w:r>
        <w:rPr>
          <w:rFonts w:hint="eastAsia"/>
          <w:kern w:val="0"/>
          <w:sz w:val="28"/>
          <w:szCs w:val="28"/>
        </w:rPr>
        <w:t>涂装</w:t>
      </w:r>
      <w:bookmarkEnd w:id="16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equipment will be painted in accordance with manufacturer's standard and painting color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informed to the Owner.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所有设备的涂装依据制造商的标准，喷漆颜色通知业主。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pStyle w:val="2"/>
        <w:rPr>
          <w:sz w:val="28"/>
          <w:szCs w:val="28"/>
        </w:rPr>
      </w:pPr>
      <w:bookmarkStart w:id="17" w:name="_Toc478801108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 C</w:t>
      </w:r>
      <w:r>
        <w:rPr>
          <w:rFonts w:hint="eastAsia"/>
          <w:sz w:val="28"/>
          <w:szCs w:val="28"/>
        </w:rPr>
        <w:t>ONFIGURE OF POWER PLANT SYSTEM</w:t>
      </w:r>
      <w:bookmarkEnd w:id="1"/>
      <w:r>
        <w:rPr>
          <w:rFonts w:hint="eastAsia"/>
          <w:sz w:val="28"/>
          <w:szCs w:val="28"/>
        </w:rPr>
        <w:t>电站系统配置</w:t>
      </w:r>
      <w:bookmarkEnd w:id="2"/>
      <w:bookmarkEnd w:id="17"/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Configure of power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plant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system contains as follows: 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18" w:name="_Toc240166689"/>
            <w:bookmarkStart w:id="19" w:name="_Toc381727388"/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enerating sets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Mechanical 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Electrical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auxiliary system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电站系统配置包含以下内容：</w:t>
      </w:r>
    </w:p>
    <w:tbl>
      <w:tblPr>
        <w:tblStyle w:val="22"/>
        <w:tblW w:w="0" w:type="auto"/>
        <w:tblInd w:w="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901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发电机组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机械辅助系统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7901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电气辅助系统</w:t>
            </w:r>
          </w:p>
        </w:tc>
      </w:tr>
    </w:tbl>
    <w:p>
      <w:pPr>
        <w:pStyle w:val="3"/>
        <w:rPr>
          <w:rFonts w:hint="default"/>
          <w:lang w:val="en-US"/>
        </w:rPr>
      </w:pPr>
      <w:bookmarkStart w:id="20" w:name="_Toc478801109"/>
      <w:r>
        <w:rPr>
          <w:rFonts w:hint="eastAsia"/>
        </w:rPr>
        <w:t>2</w:t>
      </w:r>
      <w:r>
        <w:t xml:space="preserve">.1 </w:t>
      </w:r>
      <w:r>
        <w:rPr>
          <w:rFonts w:hint="eastAsia"/>
        </w:rPr>
        <w:t>GENERATING</w:t>
      </w:r>
      <w:bookmarkEnd w:id="18"/>
      <w:bookmarkEnd w:id="19"/>
      <w:r>
        <w:rPr>
          <w:rFonts w:hint="eastAsia"/>
        </w:rPr>
        <w:t xml:space="preserve"> SETS发电机组</w:t>
      </w:r>
      <w:bookmarkEnd w:id="20"/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/>
          <w:kern w:val="0"/>
          <w:sz w:val="18"/>
          <w:szCs w:val="18"/>
        </w:rPr>
      </w:pPr>
      <w:bookmarkStart w:id="21" w:name="OLE_LINK12"/>
      <w:bookmarkStart w:id="22" w:name="_Toc478801110"/>
      <w:bookmarkStart w:id="23" w:name="_Toc240166701"/>
      <w:bookmarkStart w:id="24" w:name="_Toc381727427"/>
      <w:r>
        <w:rPr>
          <w:rFonts w:hint="default" w:ascii="ArialMT" w:hAnsi="ArialMT" w:cs="ArialMT"/>
          <w:kern w:val="0"/>
          <w:sz w:val="18"/>
          <w:szCs w:val="18"/>
          <w:lang w:val="en-US"/>
        </w:rPr>
        <w:t xml:space="preserve">18KU30B </w:t>
      </w:r>
      <w:r>
        <w:rPr>
          <w:rFonts w:hint="eastAsia" w:ascii="Arial" w:hAnsi="Arial" w:cs="Arial"/>
          <w:kern w:val="0"/>
          <w:sz w:val="18"/>
          <w:szCs w:val="18"/>
        </w:rPr>
        <w:t xml:space="preserve">Gen-set </w:t>
      </w:r>
    </w:p>
    <w:p>
      <w:pPr>
        <w:autoSpaceDE w:val="0"/>
        <w:autoSpaceDN w:val="0"/>
        <w:adjustRightInd w:val="0"/>
        <w:ind w:left="420" w:leftChars="200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The generating sets mainly include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engine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, duplex bearing generator, high elasticity shaft coupling and public housing. Diesel and duplex bearing generator are connected by high elasticity shaft coupling, which are also supported and fixed by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common bed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autoSpaceDE w:val="0"/>
        <w:autoSpaceDN w:val="0"/>
        <w:adjustRightInd w:val="0"/>
        <w:ind w:left="420" w:leftChars="200"/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</w:pPr>
      <w:r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  <w:drawing>
          <wp:inline distT="0" distB="0" distL="114300" distR="114300">
            <wp:extent cx="5266690" cy="2962910"/>
            <wp:effectExtent l="0" t="0" r="3810" b="8890"/>
            <wp:docPr id="3" name="图片 3" descr="18KU30B 8351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8KU30B 8351K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  <w:drawing>
          <wp:inline distT="0" distB="0" distL="114300" distR="114300">
            <wp:extent cx="5274945" cy="7034530"/>
            <wp:effectExtent l="0" t="0" r="8255" b="1270"/>
            <wp:docPr id="7" name="图片 7" descr="91253KVA 720R 60HZ 7322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1253KVA 720R 60HZ 7322K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 w:eastAsiaTheme="minorEastAsia"/>
          <w:bCs/>
          <w:kern w:val="0"/>
          <w:sz w:val="18"/>
          <w:szCs w:val="18"/>
          <w:lang w:val="en-US" w:eastAsia="zh-CN"/>
        </w:rPr>
        <w:drawing>
          <wp:inline distT="0" distB="0" distL="114300" distR="114300">
            <wp:extent cx="5275580" cy="3958590"/>
            <wp:effectExtent l="0" t="0" r="7620" b="3810"/>
            <wp:docPr id="8" name="图片 8" descr="86389f3d67ecb58485b23479fb37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6389f3d67ecb58485b23479fb3726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207" w:lineRule="atLeast"/>
        <w:ind w:left="210" w:leftChars="100" w:firstLine="180" w:firstLine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Function of generating sets: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power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9153KVA</w:t>
      </w:r>
      <w:r>
        <w:rPr>
          <w:rFonts w:ascii="Arial" w:hAnsi="Arial" w:eastAsia="宋体" w:cs="Arial"/>
          <w:bCs/>
          <w:kern w:val="0"/>
          <w:sz w:val="18"/>
          <w:szCs w:val="18"/>
        </w:rPr>
        <w:t>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speed 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voltage 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Rated frequency 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PF(Power factor) 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B</w:t>
      </w:r>
      <w:r>
        <w:rPr>
          <w:rFonts w:ascii="Arial" w:hAnsi="Arial" w:eastAsia="宋体" w:cs="Arial"/>
          <w:bCs/>
          <w:kern w:val="0"/>
          <w:sz w:val="18"/>
          <w:szCs w:val="18"/>
        </w:rPr>
        <w:t>oundary dimension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89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38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93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Dry weight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 xml:space="preserve">118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voltage adjusting rate 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voltage adjusting rate 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voltage steady time 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Voltage fluctuation rate 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Steady-state frequency adjusting rate 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Transient frequency adjusting rate 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Sudden load changing frequency steady time 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Frequency fluctuation rate 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Waveform distortion 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发电机组主要包含发动机、双轴承发电机、高弹性联轴器和公共底盘。发动机和双轴承发电机通过高弹性联轴器连接，被安装固定在公共底盘上。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额定功率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9153KVA</w:t>
      </w:r>
      <w:r>
        <w:rPr>
          <w:rFonts w:ascii="Arial" w:hAnsi="Arial" w:eastAsia="宋体" w:cs="Arial"/>
          <w:bCs/>
          <w:kern w:val="0"/>
          <w:sz w:val="18"/>
          <w:szCs w:val="18"/>
        </w:rPr>
        <w:t>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额定转速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7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0rpm</w:t>
      </w:r>
      <w:r>
        <w:rPr>
          <w:rFonts w:ascii="Arial" w:hAnsi="Arial" w:eastAsia="宋体" w:cs="Arial"/>
          <w:bCs/>
          <w:kern w:val="0"/>
          <w:sz w:val="18"/>
          <w:szCs w:val="18"/>
        </w:rPr>
        <w:t>   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额定电压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</w:t>
      </w:r>
      <w:r>
        <w:rPr>
          <w:rFonts w:ascii="Arial" w:hAnsi="Arial" w:eastAsia="宋体" w:cs="Arial"/>
          <w:bCs/>
          <w:kern w:val="0"/>
          <w:sz w:val="18"/>
          <w:szCs w:val="18"/>
        </w:rPr>
        <w:t>V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额定频率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  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功率因数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--------------------------------------------------------------------0.8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（lagging）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外形尺寸（长x宽x高）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约1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2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89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38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×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5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 w:eastAsia="zh-CN"/>
        </w:rPr>
        <w:t>93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0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（mm）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干量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--------------------------------------------------------------------------</w:t>
      </w:r>
      <w:r>
        <w:rPr>
          <w:rFonts w:hint="default" w:ascii="Arial" w:hAnsi="Arial" w:eastAsia="宋体" w:cs="Arial"/>
          <w:bCs/>
          <w:kern w:val="0"/>
          <w:sz w:val="18"/>
          <w:szCs w:val="18"/>
          <w:lang w:val="en-US"/>
        </w:rPr>
        <w:t>118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t</w:t>
      </w:r>
      <w:r>
        <w:rPr>
          <w:rFonts w:ascii="Arial" w:hAnsi="Arial" w:eastAsia="宋体" w:cs="Arial"/>
          <w:bCs/>
          <w:kern w:val="0"/>
          <w:sz w:val="18"/>
          <w:szCs w:val="18"/>
        </w:rPr>
        <w:t>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2</w:t>
      </w:r>
      <w:r>
        <w:rPr>
          <w:rFonts w:ascii="Arial" w:hAnsi="Arial" w:eastAsia="宋体" w:cs="Arial"/>
          <w:bCs/>
          <w:kern w:val="0"/>
          <w:sz w:val="18"/>
          <w:szCs w:val="18"/>
        </w:rPr>
        <w:t>.5%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瞬态电压调整率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+</w:t>
      </w:r>
      <w:r>
        <w:rPr>
          <w:rFonts w:ascii="Arial" w:hAnsi="Arial" w:eastAsia="宋体" w:cs="Arial"/>
          <w:bCs/>
          <w:kern w:val="0"/>
          <w:sz w:val="18"/>
          <w:szCs w:val="18"/>
        </w:rPr>
        <w:t>20%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15%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1.5</w:t>
      </w:r>
      <w:r>
        <w:rPr>
          <w:rFonts w:ascii="Arial" w:hAnsi="Arial" w:eastAsia="宋体" w:cs="Arial"/>
          <w:bCs/>
          <w:kern w:val="0"/>
          <w:sz w:val="18"/>
          <w:szCs w:val="18"/>
        </w:rPr>
        <w:t>S    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稳态频率调整率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瞬态频率调整率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------------------------------------------------------------+10%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~-</w:t>
      </w:r>
      <w:r>
        <w:rPr>
          <w:rFonts w:ascii="Arial" w:hAnsi="Arial" w:eastAsia="宋体" w:cs="Arial"/>
          <w:bCs/>
          <w:kern w:val="0"/>
          <w:sz w:val="18"/>
          <w:szCs w:val="18"/>
        </w:rPr>
        <w:t>7%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频率恢复时间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5</w:t>
      </w:r>
      <w:r>
        <w:rPr>
          <w:rFonts w:ascii="Arial" w:hAnsi="Arial" w:eastAsia="宋体" w:cs="Arial"/>
          <w:bCs/>
          <w:kern w:val="0"/>
          <w:sz w:val="18"/>
          <w:szCs w:val="18"/>
        </w:rPr>
        <w:t>S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频率波动率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>.5%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波形畸变率</w:t>
      </w:r>
      <w:r>
        <w:rPr>
          <w:rFonts w:ascii="Arial" w:hAnsi="Arial" w:eastAsia="宋体" w:cs="Arial"/>
          <w:bCs/>
          <w:kern w:val="0"/>
          <w:sz w:val="18"/>
          <w:szCs w:val="18"/>
        </w:rPr>
        <w:t>------------------------------------------------------------------≤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Cs/>
          <w:kern w:val="0"/>
          <w:sz w:val="18"/>
          <w:szCs w:val="18"/>
        </w:rPr>
        <w:t>% </w:t>
      </w:r>
    </w:p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Engine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Brand and model of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firstLine="270" w:firstLineChars="15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Mitsubishi 18KU30B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Pattern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V18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four stroke, direct injection, turbocharger,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water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cooled, compressed air starting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Cylinder bore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Stroke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Compressed ratio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(Most Continuous Power)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8350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Speed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Crankshaft clock-wise rotation (as viewed from output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consumption rate (When MCR happens)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g/kW.h，tolerance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intake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flow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64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Exhaust gas temperature after supercharger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Supercharger air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Supercharger air temperature before cylinder 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Engine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inlet lube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H.T. water out-machine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.T. water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.T. water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into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-machine temperature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Fuel into-machine pressure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发动机</w:t>
      </w:r>
    </w:p>
    <w:tbl>
      <w:tblPr>
        <w:tblStyle w:val="22"/>
        <w:tblW w:w="8108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884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发动机品牌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三菱 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KU30B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V18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、四冲程、直接喷射、增压中冷、压缩空气启动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缸径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行程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mm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压缩比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MCR (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最大连续功率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8350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kW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顺时针（从功率输出端）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燃油消耗率（当MCR时）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89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g/kW.h，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公差 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+5%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空气进气量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23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.8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kg/kW.h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排气量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64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5t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/ 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增压器后排气温度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50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增压器空气压力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4.04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进缸前增压器空气温度</w:t>
            </w:r>
          </w:p>
        </w:tc>
        <w:tc>
          <w:tcPr>
            <w:tcW w:w="3884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~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55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润滑油进机温度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8~73℃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高温水出机温度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75~85℃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25~0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45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低温水进机温度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30~40℃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燃油进机压力</w:t>
            </w:r>
          </w:p>
        </w:tc>
        <w:tc>
          <w:tcPr>
            <w:tcW w:w="3884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3~0.6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P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spacing w:beforeLines="50" w:afterLines="50"/>
        <w:ind w:firstLine="270" w:firstLineChars="1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Alternator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Brand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JEC-114 東芝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power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9153KVA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frequency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Rated 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peed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Direction of rotation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Counter clock-wise (as viewed from input end)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PF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(Lagging)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Efficiency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Grade of Protection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Winding temperature sensory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 (sensory) (1 set standby)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Anti-freezing heater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Coolant method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Self-fan coolant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 (Automatic Voltage Regulator)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I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nstalled on generator </w:t>
            </w:r>
          </w:p>
        </w:tc>
      </w:tr>
    </w:tbl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发电机</w:t>
      </w:r>
    </w:p>
    <w:tbl>
      <w:tblPr>
        <w:tblStyle w:val="22"/>
        <w:tblW w:w="8193" w:type="dxa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3969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品牌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>JEC-114 東芝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tabs>
                <w:tab w:val="right" w:pos="3798"/>
              </w:tabs>
              <w:spacing w:line="207" w:lineRule="atLeast"/>
              <w:ind w:left="210" w:leftChars="100"/>
              <w:jc w:val="left"/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额定功率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eastAsia="zh-CN"/>
              </w:rPr>
              <w:tab/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9153KVA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额定频率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转速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r/min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旋转方向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顺指针（从输入端看）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功率因数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0.8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（滞后）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效率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IP2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44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绕组温度传感器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2×6Pt100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（传感器）（1套备用）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防冷凝加热器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AC230V 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冷却方式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风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AVR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（自动电压调节器）</w:t>
            </w:r>
          </w:p>
        </w:tc>
        <w:tc>
          <w:tcPr>
            <w:tcW w:w="3969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安装在发电机上</w:t>
            </w:r>
          </w:p>
        </w:tc>
      </w:tr>
    </w:tbl>
    <w:p>
      <w:pPr>
        <w:pStyle w:val="3"/>
        <w:rPr>
          <w:rFonts w:hint="default"/>
          <w:kern w:val="0"/>
          <w:sz w:val="28"/>
          <w:szCs w:val="28"/>
          <w:lang w:val="en-US"/>
        </w:rPr>
      </w:pPr>
    </w:p>
    <w:p>
      <w:pPr>
        <w:pStyle w:val="3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/>
          <w:kern w:val="0"/>
          <w:sz w:val="28"/>
          <w:szCs w:val="28"/>
        </w:rPr>
        <w:t>2.2MECHANICAL AUXILIARY SYSTEM机械辅助系统</w:t>
      </w:r>
      <w:bookmarkEnd w:id="21"/>
      <w:bookmarkEnd w:id="22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LUBRICATING OIL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has it’s own internal lubricating oil system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. Lube oil service tank is mounted on common-bed.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5" w:name="OLE_LINK5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filter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Duplex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Lube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Pre-lubricating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bookmarkEnd w:id="25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滑油系统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发动机有自己的内部润滑油系统，润滑油工作油箱安装在机组的公共地盘上。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滑油滤清器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双联滤清器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板式冷却器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滑油预供泵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</w:tbl>
    <w:p>
      <w:pPr>
        <w:spacing w:beforeLines="50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default" w:ascii="Arial" w:hAnsi="Arial" w:cs="Arial"/>
          <w:b/>
          <w:bCs/>
          <w:kern w:val="0"/>
          <w:sz w:val="18"/>
          <w:szCs w:val="18"/>
          <w:lang w:val="en-US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COOLING WATER SYSTEM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engine cooling water system consists of two cooling water circuits, which are Low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temperature(LT) and High temperature(HT) water circuits. The heat transfer to engine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cooling water is discharged to atmosphere by Radiator Cooling.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Low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Charge air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Lubricating oil cooler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Plate type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radiator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Air cooling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LTCW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High temperature water circuit comprises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HTCW pump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driven, 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water jackets/cylinder head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Thermostatic valve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Mounted on engine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HTCW expansion water tank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冷却水系统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发动机冷却水系统由两路冷却水组成，低温冷却水和高温冷却水。传递发动机冷却水中的热量通过散热器释放到大气中。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中冷器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滑油冷却器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板式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低温水散热器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水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却塔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客户自制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高温水路的组成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高温水泵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机带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发动机缸套/缸头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恒温阀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装机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高温膨胀水箱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</w:pP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2.4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COMPRESSED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consists of starting air receiver and air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compressor as follows.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compressed air supply system provides also the control air to the related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auxiliaries through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pressure-reducing valve.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Engine starting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Compressed air,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compressor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Electric Motor driven, 30 bar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receiver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Cylindrical, 30 bar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压缩空气系统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压缩空气供应系统由启动空气瓶和空气压缩机组成。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压缩空气系统还通过减压阀提供相关辅助设备控制空气。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发动机启动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压缩空气，0.7MPa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空气压缩机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电马达驱动3MPa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空气瓶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圆柱型，3MPa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2.5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INTAKE AIR SYSTEM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Intake air filter 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is dry </w:t>
      </w:r>
      <w:r>
        <w:rPr>
          <w:rFonts w:ascii="Arial" w:hAnsi="Arial" w:eastAsia="宋体" w:cs="Arial"/>
          <w:bCs/>
          <w:kern w:val="0"/>
          <w:sz w:val="18"/>
          <w:szCs w:val="18"/>
        </w:rPr>
        <w:t>and washable type filter to be mounted on turbocharger.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进气系统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进气滤清器为干式、可洗型滤清器，安装在增压器上。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2.6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EXHAUST GAS SYSTEM 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Exhaust gas of the engine flows out from turbocharger to atmosphere via expansion joint and silencer.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 xml:space="preserve">- Total pressure loss in the exhaust gas system : max. </w:t>
      </w:r>
      <w:r>
        <w:rPr>
          <w:rFonts w:hint="eastAsia" w:ascii="ArialMT" w:hAnsi="ArialMT" w:cs="ArialMT"/>
          <w:kern w:val="0"/>
          <w:sz w:val="18"/>
          <w:szCs w:val="18"/>
        </w:rPr>
        <w:t>2.5kPa</w:t>
      </w:r>
    </w:p>
    <w:p>
      <w:pPr>
        <w:autoSpaceDE w:val="0"/>
        <w:autoSpaceDN w:val="0"/>
        <w:adjustRightInd w:val="0"/>
        <w:ind w:left="630" w:leftChars="3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silencer : absorption &amp; resonance Type</w:t>
      </w:r>
    </w:p>
    <w:p>
      <w:pPr>
        <w:ind w:left="630" w:leftChars="300"/>
        <w:rPr>
          <w:rFonts w:ascii="ArialMT" w:hAnsi="ArialMT" w:cs="ArialMT"/>
          <w:kern w:val="0"/>
          <w:sz w:val="18"/>
          <w:szCs w:val="18"/>
        </w:rPr>
      </w:pPr>
      <w:r>
        <w:rPr>
          <w:rFonts w:ascii="ArialMT" w:hAnsi="ArialMT" w:cs="ArialMT"/>
          <w:kern w:val="0"/>
          <w:sz w:val="18"/>
          <w:szCs w:val="18"/>
        </w:rPr>
        <w:t>- Exhaust gas boiler unit : Smoke tube type,7 bar.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排气系统</w:t>
      </w:r>
    </w:p>
    <w:p>
      <w:pPr>
        <w:autoSpaceDE w:val="0"/>
        <w:autoSpaceDN w:val="0"/>
        <w:adjustRightInd w:val="0"/>
        <w:spacing w:beforeLines="50" w:afterLines="50"/>
        <w:ind w:left="420" w:leftChars="20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发动机排气系统通过膨胀节和消音器从增压器流出到大气中去。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排气系统排气背压：最大2.5kPa</w:t>
      </w:r>
    </w:p>
    <w:p>
      <w:pPr>
        <w:autoSpaceDE w:val="0"/>
        <w:autoSpaceDN w:val="0"/>
        <w:adjustRightInd w:val="0"/>
        <w:ind w:left="630" w:leftChars="300" w:firstLine="90" w:firstLineChars="50"/>
        <w:jc w:val="left"/>
        <w:rPr>
          <w:rFonts w:ascii="ArialMT" w:hAnsi="ArialMT" w:cs="ArialMT"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排气消音器：吸收共振型</w:t>
      </w:r>
    </w:p>
    <w:p>
      <w:pPr>
        <w:ind w:left="630" w:leftChars="300" w:firstLine="90" w:firstLineChar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MT" w:hAnsi="ArialMT" w:cs="ArialMT"/>
          <w:kern w:val="0"/>
          <w:sz w:val="18"/>
          <w:szCs w:val="18"/>
        </w:rPr>
        <w:t>排气锅炉：烟道型，0.7MPa</w:t>
      </w:r>
    </w:p>
    <w:p>
      <w:pPr>
        <w:pStyle w:val="3"/>
        <w:rPr>
          <w:sz w:val="28"/>
          <w:szCs w:val="28"/>
        </w:rPr>
      </w:pPr>
      <w:bookmarkStart w:id="26" w:name="_Toc478801111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 </w:t>
      </w:r>
      <w:bookmarkEnd w:id="23"/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LECTRICAL AUXILIARY SYSTEM电气系统</w:t>
      </w:r>
      <w:bookmarkEnd w:id="26"/>
    </w:p>
    <w:bookmarkEnd w:id="24"/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Electrical system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 mainly includes </w:t>
      </w:r>
      <w:bookmarkStart w:id="27" w:name="_Toc381727428"/>
      <w:r>
        <w:rPr>
          <w:rFonts w:hint="eastAsia" w:ascii="Arial" w:hAnsi="Arial" w:eastAsia="宋体" w:cs="Arial"/>
          <w:bCs/>
          <w:kern w:val="0"/>
          <w:sz w:val="18"/>
          <w:szCs w:val="18"/>
        </w:rPr>
        <w:t>medium voltage system, low voltage system, control system, etc.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电气系统主要包括了中压系统、低压系统和控制系统等。</w:t>
      </w:r>
    </w:p>
    <w:p>
      <w:pPr>
        <w:spacing w:beforeLines="50" w:after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PLANT SYSTEM VOLTAGE 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Generator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Secondary distribution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Motors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DC control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Grid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  <w:bookmarkEnd w:id="27"/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bookmarkStart w:id="28" w:name="_Toc381727434"/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电站系统电压</w:t>
      </w:r>
    </w:p>
    <w:tbl>
      <w:tblPr>
        <w:tblStyle w:val="22"/>
        <w:tblW w:w="0" w:type="auto"/>
        <w:tblInd w:w="108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86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发电机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1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, 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二次分配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0V,3PH,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马达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0V,3PH,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交流控制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AC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1PH,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直流控制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DC 110V, 2W or 24V,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电网</w:t>
            </w:r>
          </w:p>
        </w:tc>
        <w:tc>
          <w:tcPr>
            <w:tcW w:w="4586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3PH, </w:t>
            </w:r>
          </w:p>
        </w:tc>
      </w:tr>
    </w:tbl>
    <w:p>
      <w:pPr>
        <w:spacing w:beforeLines="50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hint="eastAsia" w:ascii="Arial" w:hAnsi="Arial" w:cs="Arial"/>
          <w:b/>
          <w:bCs/>
          <w:kern w:val="0"/>
          <w:sz w:val="18"/>
          <w:szCs w:val="18"/>
          <w:lang w:val="en-US" w:eastAsia="zh-CN"/>
        </w:rPr>
        <w:t>6.6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kV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SWITCHGEARS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</w:t>
      </w:r>
      <w:r>
        <w:rPr>
          <w:rFonts w:ascii="Arial" w:hAnsi="Arial" w:eastAsia="宋体" w:cs="Arial"/>
          <w:bCs/>
          <w:kern w:val="0"/>
          <w:sz w:val="18"/>
          <w:szCs w:val="18"/>
        </w:rPr>
        <w:t>kV switchgear shall be indoor, metal-enclosed, floor mounted, draw out type.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Meters, relays, switches and lamps will be flush mounted on the respective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cubicle door or on control cabinet. The degree of protection enclosure will be of IP 41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x</w:t>
      </w:r>
      <w:r>
        <w:rPr>
          <w:rFonts w:ascii="Arial" w:hAnsi="Arial" w:eastAsia="宋体" w:cs="Arial"/>
          <w:bCs/>
          <w:kern w:val="0"/>
          <w:sz w:val="18"/>
          <w:szCs w:val="18"/>
        </w:rPr>
        <w:t>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breakers shall be triple pole, single throw and vacuum circuit breaker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external cables will enter the switchgear through adequate openings at the bottom.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Current transformers(CT) will be epoxy-resin type. All current transformer secondary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connected to short circuiting terminal blocks.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Potential transformers(PT) will be epoxy-resin type with primary and secondary fuses.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accuracy class for CT &amp; PT will be of 1.0 cl. for metering 5P20 for protection.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vacuum circuit breaker operating and control circuit will be for 110V DC supplied from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110V DC station which is normally floated with battery and battery charger.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switchgear cubicle will be provided with space heaters to prevent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condensation of moisture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within the switchgear.</w:t>
      </w:r>
    </w:p>
    <w:p>
      <w:pPr>
        <w:pStyle w:val="28"/>
        <w:widowControl/>
        <w:numPr>
          <w:ilvl w:val="0"/>
          <w:numId w:val="2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For generator feeders, the necessary electrical parameters are to be measured or displayed in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each generator control panel.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Particulars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Service voltage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Ground system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Solidly grounded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Control power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Switch gear main bus current 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Material of busbar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Copper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Circuit breaker 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Type: Draw out type, VCB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voltage: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kV, 3PH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current: 25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开关柜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6.6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kV开关柜是户内、金属密封、地板安装、抽出性型</w:t>
      </w:r>
    </w:p>
    <w:p>
      <w:pPr>
        <w:pStyle w:val="28"/>
        <w:widowControl/>
        <w:spacing w:line="207" w:lineRule="atLeast"/>
        <w:ind w:left="570" w:firstLine="0"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仪表、继电器、转换开关和指示灯安装在各自的柜体面板和控制柜内。柜体的防护等级为IP4x。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断路器是三极、单掷的真空断路器。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所有的外部电缆通过底部足够的开孔进入开关柜。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电流互感器（CT）为环氧树脂型。所有电流互感器的二次侧连接到短路的接线端子上。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电压互感器（PT）带有一次和二次熔断器的环氧树脂型。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CT和PT的精度等级是为保护测量5P20用的1.0级。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真空断路器的运行和控制线圈是来自于110V直流站供应的DC110V。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开关柜内安装有空间加热器，以防止柜内的水汽凝结。</w:t>
      </w:r>
    </w:p>
    <w:p>
      <w:pPr>
        <w:pStyle w:val="28"/>
        <w:widowControl/>
        <w:numPr>
          <w:ilvl w:val="0"/>
          <w:numId w:val="3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对于发电机馈线，在每个发电机控制屏上测量和显示必要的电气参数。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4870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KYN28-24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kV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DC110V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开关主母线电流</w:t>
            </w:r>
          </w:p>
        </w:tc>
        <w:tc>
          <w:tcPr>
            <w:tcW w:w="4870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/1250A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母线材料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4870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型号：抽出型，真空断路器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额定电压：24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kV, 3PH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额定电流：630A/1250A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额定分断电流：25kA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4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0</w:t>
      </w:r>
      <w:r>
        <w:rPr>
          <w:rFonts w:ascii="Arial" w:hAnsi="Arial" w:cs="Arial"/>
          <w:b/>
          <w:bCs/>
          <w:kern w:val="0"/>
          <w:sz w:val="18"/>
          <w:szCs w:val="18"/>
        </w:rPr>
        <w:t>0V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0"/>
          <w:sz w:val="18"/>
          <w:szCs w:val="18"/>
        </w:rPr>
        <w:t>SWITCHGEARS/MCC/DISTRIBUTION BOARDS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 xml:space="preserve">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L.V switchgear will be metal-enclosed, free-standing, dead front structure with electrically operated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draw out type air circuit breaker suitable for indoor installation.</w:t>
      </w:r>
    </w:p>
    <w:p>
      <w:pPr>
        <w:pStyle w:val="28"/>
        <w:widowControl/>
        <w:numPr>
          <w:ilvl w:val="0"/>
          <w:numId w:val="4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The air circuit breaker will be 3-pole, 600V class air circuit breaker (ACB) with suitable rating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continuous current rating and interrupting rating respectively.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>Specification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bookmarkStart w:id="29" w:name="OLE_LINK10"/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Metal enclosed type for indoor service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Service voltage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Ground system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Solidly grounded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Control power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0VAC, 1Ph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Bus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 bus with current rating 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Circuit breake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Air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 : Draw out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 voltage: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current: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interrupting current : 65kA SYMM.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Operating type : Motor spring type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Over current trip : Direct acting trip device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pStyle w:val="28"/>
              <w:widowControl/>
              <w:numPr>
                <w:ilvl w:val="0"/>
                <w:numId w:val="5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of poles: 3p</w:t>
            </w:r>
          </w:p>
        </w:tc>
      </w:tr>
      <w:bookmarkEnd w:id="29"/>
    </w:tbl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</w:p>
    <w:p>
      <w:pPr>
        <w:widowControl/>
        <w:spacing w:line="207" w:lineRule="atLeast"/>
        <w:ind w:left="210" w:leftChars="10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400V开关柜/MCC/配电板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综述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1）低压开关柜是带有可操作的抽出式空气断路器，适合户内安装的，金属密封的、独立的、框架式结构。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2）空气断路器是3极，600V空气断路器(ACB)，带有连续和分断电流额定值合适的等级。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规格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为屋内检修的金属密封型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供电电压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0VAC,3PH,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接地系统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直接接地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控制电源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110VDC for ACB and 2</w:t>
            </w: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0VAC, 1Ph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母线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按照规定额定电流的铜母线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Merge w:val="restart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断路器</w:t>
            </w:r>
          </w:p>
        </w:tc>
        <w:tc>
          <w:tcPr>
            <w:tcW w:w="5437" w:type="dxa"/>
          </w:tcPr>
          <w:p>
            <w:pPr>
              <w:spacing w:line="207" w:lineRule="atLeast"/>
              <w:ind w:firstLine="180" w:firstLine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空气断路器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665" w:type="dxa"/>
            <w:vMerge w:val="continue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型号：抽出型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600V,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: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63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0A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分断电流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: 65kA SYMM.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操作形式：电马达弹簧型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过流跳闸：直接动作脱扣装置</w:t>
            </w:r>
          </w:p>
          <w:p>
            <w:pPr>
              <w:pStyle w:val="28"/>
              <w:widowControl/>
              <w:numPr>
                <w:ilvl w:val="0"/>
                <w:numId w:val="6"/>
              </w:numPr>
              <w:spacing w:line="207" w:lineRule="atLeast"/>
              <w:ind w:firstLineChars="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3p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.5 POWER TRANSFORMER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Particulars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Aux. Transformer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Rated voltage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b) Winding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H.V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Delta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L.V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Wye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c) Vector group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Capacity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e) Cooling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oil-immersed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f) Tap changer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电力变压器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详情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辅助变压器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a)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6.6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0.4kV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绕组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高压侧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三角形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低压侧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星形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矢量组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Dyn11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d)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50k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冷却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油浸式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f)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分接头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NLTC 2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×±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2.5% TAPS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.6 DC SYSTEM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Batteries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Lead-Acid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cell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Capacity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required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 minal voltage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12V/cell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Back-up time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 Minutes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* Capacity shall be adjusted during the detail design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Battery Charger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Metal-enclosed, indoor, floor mounted 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Float charger combined booster charger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Quantity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One set for 110V DC system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Rated output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Feeder 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Molded case circuit breaker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No. of pole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直流系统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蓄电池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210" w:leftChars="1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110V DC &amp; 24V DC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铅酸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电池组数目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按照需要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单元蓄电池电压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12V/块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备用时间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60分钟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*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容量根据详细设计调整</w:t>
            </w:r>
          </w:p>
        </w:tc>
      </w:tr>
    </w:tbl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电池充电器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  <w:tcBorders>
              <w:bottom w:val="single" w:color="auto" w:sz="4" w:space="0"/>
            </w:tcBorders>
          </w:tcPr>
          <w:p>
            <w:pPr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金属密封、户内、地板安装</w:t>
            </w:r>
          </w:p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浮充电结合大电流充电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为110V直流系统的一套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额定输出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24V DC, 50A &amp; 110V DC, 50A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馈线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模式断路器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极数</w:t>
            </w:r>
          </w:p>
        </w:tc>
        <w:tc>
          <w:tcPr>
            <w:tcW w:w="5437" w:type="dxa"/>
            <w:vAlign w:val="center"/>
          </w:tcPr>
          <w:p>
            <w:pPr>
              <w:widowControl/>
              <w:spacing w:line="207" w:lineRule="atLeast"/>
              <w:ind w:left="210" w:leftChars="1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2P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.7 MOTOR 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  <w:t xml:space="preserve">General Description 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AC motors will be suitable for operation on 3-phase, 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</w:t>
      </w:r>
      <w:r>
        <w:rPr>
          <w:rFonts w:ascii="Arial" w:hAnsi="Arial" w:eastAsia="宋体" w:cs="Arial"/>
          <w:bCs/>
          <w:kern w:val="0"/>
          <w:sz w:val="18"/>
          <w:szCs w:val="18"/>
        </w:rPr>
        <w:t xml:space="preserve">0V, 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ascii="Arial" w:hAnsi="Arial" w:eastAsia="宋体" w:cs="Arial"/>
          <w:bCs/>
          <w:kern w:val="0"/>
          <w:sz w:val="18"/>
          <w:szCs w:val="18"/>
        </w:rPr>
        <w:t>0Hz.</w:t>
      </w:r>
    </w:p>
    <w:p>
      <w:pPr>
        <w:pStyle w:val="28"/>
        <w:widowControl/>
        <w:numPr>
          <w:ilvl w:val="0"/>
          <w:numId w:val="7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Unless otherwise specified, all the AC motors will be squirrel cage induction motors suitable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for full voltage direct starting.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18"/>
                <w:szCs w:val="18"/>
              </w:rPr>
              <w:t>Technical Specifications for LV Motors.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Rated voltage</w:t>
            </w:r>
          </w:p>
        </w:tc>
        <w:tc>
          <w:tcPr>
            <w:tcW w:w="5437" w:type="dxa"/>
          </w:tcPr>
          <w:p>
            <w:pPr>
              <w:pStyle w:val="28"/>
              <w:widowControl/>
              <w:spacing w:line="207" w:lineRule="atLeast"/>
              <w:ind w:left="420" w:leftChars="200" w:firstLine="0" w:firstLineChars="0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Enclosure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Indoor area 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Outdoor area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Insulation class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Space heaters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Outdoor motors, 37.5KW &amp; larger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Starting 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Direct on line starting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Others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Tropical design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2.3.7马达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/>
          <w:bCs/>
          <w:kern w:val="0"/>
          <w:sz w:val="18"/>
          <w:szCs w:val="18"/>
          <w:u w:val="single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  <w:u w:val="single"/>
        </w:rPr>
        <w:t>总则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交流电动机适合3相400V/</w:t>
      </w:r>
      <w:r>
        <w:rPr>
          <w:rFonts w:hint="eastAsia" w:ascii="Arial" w:hAnsi="Arial" w:eastAsia="宋体" w:cs="Arial"/>
          <w:bCs/>
          <w:kern w:val="0"/>
          <w:sz w:val="18"/>
          <w:szCs w:val="18"/>
          <w:lang w:val="en-US" w:eastAsia="zh-CN"/>
        </w:rPr>
        <w:t>6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0Hz</w:t>
      </w:r>
    </w:p>
    <w:p>
      <w:pPr>
        <w:pStyle w:val="28"/>
        <w:widowControl/>
        <w:numPr>
          <w:ilvl w:val="0"/>
          <w:numId w:val="8"/>
        </w:numPr>
        <w:spacing w:line="207" w:lineRule="atLeast"/>
        <w:ind w:firstLineChars="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除非另有说明，所有的交流电动机采用鼠笼式感应电动机，适合于全压直接启动。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2" w:type="dxa"/>
            <w:gridSpan w:val="2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</w:rPr>
              <w:t>低压电动机的技术规格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额定电压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0V, 3PH,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0Hz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外壳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户内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IP54</w:t>
            </w:r>
          </w:p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: IP55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绝缘等级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F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空间加热器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户外电动机，37.5kW或更大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启动类型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直接启动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其他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热带设计</w:t>
            </w:r>
          </w:p>
        </w:tc>
      </w:tr>
    </w:tbl>
    <w:p>
      <w:pPr>
        <w:autoSpaceDE w:val="0"/>
        <w:autoSpaceDN w:val="0"/>
        <w:adjustRightInd w:val="0"/>
        <w:spacing w:before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.8 Cables 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.8.1 HV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Minimum size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per calculation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.8.2 L.V Power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Type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0.6/1.0kV XLPE, PVC sheathed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(3C or 4C)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.8.3 Control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 (PVC/PVC)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As needed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Multiple (2C through 30C)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Instrumentation cables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Type 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Shielding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Shielded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Core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TT64E9BFA0tCID-WinCharSetFFFF-H" w:eastAsia="TT64E9BFA0tCID-WinCharSetFFFF-H" w:cs="TT64E9BFA0tCID-WinCharSetFFFF-H"/>
                <w:kern w:val="0"/>
                <w:szCs w:val="21"/>
              </w:rPr>
              <w:t>1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pair and multi-pair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Conduc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tor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Copper</w:t>
            </w:r>
          </w:p>
        </w:tc>
      </w:tr>
    </w:tbl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电缆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.8.1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高压电源电缆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24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 kV,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3C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最小尺寸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根据计算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.8.2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低压电源电缆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0.6/1.0KV XLPE, PVC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护套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 xml:space="preserve">3C 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4C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）或单芯（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1C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.8.3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控制电缆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PVC/PVC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多芯（</w:t>
            </w: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2C-30C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widowControl/>
        <w:spacing w:line="207" w:lineRule="atLeast"/>
        <w:jc w:val="left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ascii="Arial" w:hAnsi="Arial" w:eastAsia="宋体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3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>.8.</w:t>
      </w: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>4仪表电缆</w:t>
      </w:r>
      <w:r>
        <w:rPr>
          <w:rFonts w:ascii="Arial" w:hAnsi="Arial" w:eastAsia="宋体" w:cs="Arial"/>
          <w:b/>
          <w:bCs/>
          <w:kern w:val="0"/>
          <w:sz w:val="18"/>
          <w:szCs w:val="18"/>
        </w:rPr>
        <w:t xml:space="preserve"> </w:t>
      </w:r>
    </w:p>
    <w:tbl>
      <w:tblPr>
        <w:tblStyle w:val="22"/>
        <w:tblW w:w="0" w:type="auto"/>
        <w:tblInd w:w="420" w:type="dxa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5437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  <w:t>600V CVV</w:t>
            </w: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屏蔽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带屏蔽层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芯数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一对及多对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导体</w:t>
            </w:r>
          </w:p>
        </w:tc>
        <w:tc>
          <w:tcPr>
            <w:tcW w:w="5437" w:type="dxa"/>
          </w:tcPr>
          <w:p>
            <w:pPr>
              <w:widowControl/>
              <w:spacing w:line="207" w:lineRule="atLeast"/>
              <w:ind w:left="420" w:leftChars="200"/>
              <w:jc w:val="left"/>
              <w:rPr>
                <w:rFonts w:ascii="Arial" w:hAnsi="Arial" w:eastAsia="宋体" w:cs="Arial"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Cs/>
                <w:kern w:val="0"/>
                <w:sz w:val="18"/>
                <w:szCs w:val="18"/>
              </w:rPr>
              <w:t>铜</w:t>
            </w:r>
          </w:p>
        </w:tc>
      </w:tr>
    </w:tbl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10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Conduits and trays 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1) Cables will be installed in above ground conduits, cable trays, underground conduits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or cable trenches or direct buried.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2) Conduits will be rigid steel conduits.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3) Separate trays for instrumentation cables will be provided to separate them from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power cable.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4) Trays for cables for different voltage levels will be stacked in descending order with the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higher voltage above. Instrumentation trays will always be at the bottom.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 Trays will be made of hot-dip galvanized steel for outdoor and indoor.</w:t>
      </w:r>
    </w:p>
    <w:p>
      <w:pPr>
        <w:autoSpaceDE w:val="0"/>
        <w:autoSpaceDN w:val="0"/>
        <w:adjustRightInd w:val="0"/>
        <w:spacing w:beforeLines="50" w:afterLines="50"/>
        <w:ind w:firstLine="352" w:firstLineChars="196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管道和电缆桥架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1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）电缆可安装于地面管道、电缆桥架、地下管道或电缆槽上方，或直接埋入地面。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2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）管道应为硬钢管。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3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）应提供单独的仪表电缆桥架，将仪表电缆和电源电缆分开。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4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）不同电压的电缆桥架按降序叠放，电压高的置于上方。仪表电缆架桥始终置于底部。</w:t>
      </w:r>
    </w:p>
    <w:p>
      <w:pPr>
        <w:widowControl/>
        <w:spacing w:line="207" w:lineRule="atLeast"/>
        <w:ind w:left="210" w:leftChars="1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5)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室内外的架桥均应采用热浸锌钢。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3.11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INSTRUMENT &amp; CONTROL SYSTEM </w:t>
      </w:r>
    </w:p>
    <w:p>
      <w:pPr>
        <w:autoSpaceDE w:val="0"/>
        <w:autoSpaceDN w:val="0"/>
        <w:adjustRightInd w:val="0"/>
        <w:spacing w:beforeLines="50" w:afterLines="50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bookmarkStart w:id="30" w:name="OLE_LINK9"/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</w:t>
      </w:r>
      <w:bookmarkEnd w:id="30"/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ENGINE/ GENERATOR CONTROL PANEL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Engine/ Generator control panel will be metal-enclosed, free-standing, IP40, indoor installation.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 Control and Monitoring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Engine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 T/C RPM display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pressure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Starting air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pressure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LO engine inlet pressure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temperature display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FO engine inlet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HT water outlet temperature 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Exh. Gas T/C inlet temperature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D/G set emergency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start and stop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Engine speed control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Generator voltage control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b) Annunciator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c) Synchronizing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d) Protection relay (Multi or single protective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Under/ over voltage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Reverse power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Loss of excitation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Over current ground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Under and over frequency protection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Lock out relay(separate type) </w:t>
      </w:r>
    </w:p>
    <w:p>
      <w:pPr>
        <w:widowControl/>
        <w:spacing w:line="207" w:lineRule="atLeast"/>
        <w:ind w:left="840" w:leftChars="4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 xml:space="preserve">- Differential Protective Relay(87G) </w:t>
      </w:r>
    </w:p>
    <w:p>
      <w:pPr>
        <w:widowControl/>
        <w:spacing w:line="207" w:lineRule="atLeast"/>
        <w:ind w:left="420" w:leftChars="2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However, the above shall be adjusted subject to detail design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</w:t>
      </w:r>
      <w:r>
        <w:rPr>
          <w:rFonts w:ascii="Arial" w:hAnsi="Arial" w:cs="Arial"/>
          <w:b/>
          <w:bCs/>
          <w:kern w:val="0"/>
          <w:sz w:val="18"/>
          <w:szCs w:val="18"/>
        </w:rPr>
        <w:t>.1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1.1发动机/发电机控制屏</w:t>
      </w:r>
    </w:p>
    <w:p>
      <w:pPr>
        <w:widowControl/>
        <w:spacing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发动机/发电机控制屏金属密封型、独立的、IP40、户内安装。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控制和监控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增压器转速显示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发动机压力显示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启动空气压力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发动机燃油进机压力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润滑油进口压力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发动机温度显示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发动机进口温度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高温水出机温度</w:t>
      </w:r>
    </w:p>
    <w:p>
      <w:pPr>
        <w:widowControl/>
        <w:spacing w:line="207" w:lineRule="atLeast"/>
        <w:ind w:left="1260" w:leftChars="6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增压器口的排气温度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机组紧急停机按钮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发动机启动和停机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发动机转速控制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发电机电压控制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报警器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c)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同步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d)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保护继电器（多个或单个保护型）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欠/过压保护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逆功保护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失磁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过流接地保护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欠/过频保护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闭锁继电器（分离型）</w:t>
      </w:r>
    </w:p>
    <w:p>
      <w:pPr>
        <w:widowControl/>
        <w:spacing w:line="207" w:lineRule="atLeast"/>
        <w:ind w:left="1050" w:leftChars="5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-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>差动保护</w:t>
      </w:r>
      <w:r>
        <w:rPr>
          <w:rFonts w:ascii="Arial" w:hAnsi="Arial" w:eastAsia="宋体" w:cs="Arial"/>
          <w:bCs/>
          <w:kern w:val="0"/>
          <w:sz w:val="18"/>
          <w:szCs w:val="18"/>
        </w:rPr>
        <w:t>(87G)</w:t>
      </w:r>
    </w:p>
    <w:p>
      <w:pPr>
        <w:widowControl/>
        <w:spacing w:line="207" w:lineRule="atLeast"/>
        <w:ind w:left="630" w:leftChars="300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然而，以上要求根据详细设计调整。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Field instrumentation 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Necessary local instrumentation for field tanks and pipe lines will be provided properly for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efficient and reliable plant operation, subject to our standard. Instrumentation will be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tropicalized to suitable the conditions of the plant environment.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But, the instruments for tanks will be supplied by tanks supplier when tanks are out of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contractor`s scope Wherever possible, instruments which perform similar functions in similar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applications will be of uniform type and manufacturer. However package mounted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instruments will be subject to manufacture standard and practice.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Each instrument will be identified and tagged with a tag number, according to job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standards. Local indicators will be graduated to in engineering units of the measures variable.</w:t>
      </w:r>
      <w:r>
        <w:rPr>
          <w:rFonts w:hint="eastAsia" w:ascii="Arial" w:hAnsi="Arial" w:eastAsia="宋体" w:cs="Arial"/>
          <w:bCs/>
          <w:kern w:val="0"/>
          <w:sz w:val="18"/>
          <w:szCs w:val="18"/>
        </w:rPr>
        <w:t xml:space="preserve"> </w:t>
      </w:r>
      <w:r>
        <w:rPr>
          <w:rFonts w:ascii="Arial" w:hAnsi="Arial" w:eastAsia="宋体" w:cs="Arial"/>
          <w:bCs/>
          <w:kern w:val="0"/>
          <w:sz w:val="18"/>
          <w:szCs w:val="18"/>
        </w:rPr>
        <w:t>Instrument scale ranges will be expressed in S.I. Engineering units.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ascii="Arial" w:hAnsi="Arial" w:eastAsia="宋体" w:cs="Arial"/>
          <w:bCs/>
          <w:kern w:val="0"/>
          <w:sz w:val="18"/>
          <w:szCs w:val="18"/>
        </w:rPr>
        <w:t>All the instruments will be the industrial type and field proven design.</w:t>
      </w:r>
    </w:p>
    <w:p>
      <w:pPr>
        <w:widowControl/>
        <w:spacing w:line="207" w:lineRule="atLeast"/>
        <w:jc w:val="left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3.</w:t>
      </w:r>
      <w:r>
        <w:rPr>
          <w:rFonts w:ascii="Arial" w:hAnsi="Arial" w:cs="Arial"/>
          <w:b/>
          <w:bCs/>
          <w:kern w:val="0"/>
          <w:sz w:val="18"/>
          <w:szCs w:val="18"/>
        </w:rPr>
        <w:t>1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1</w:t>
      </w:r>
      <w:r>
        <w:rPr>
          <w:rFonts w:ascii="Arial" w:hAnsi="Arial" w:cs="Arial"/>
          <w:b/>
          <w:bCs/>
          <w:kern w:val="0"/>
          <w:sz w:val="18"/>
          <w:szCs w:val="18"/>
        </w:rPr>
        <w:t>.</w:t>
      </w:r>
      <w:r>
        <w:rPr>
          <w:rFonts w:hint="eastAsia" w:ascii="Arial" w:hAnsi="Arial" w:cs="Arial"/>
          <w:b/>
          <w:bCs/>
          <w:kern w:val="0"/>
          <w:sz w:val="18"/>
          <w:szCs w:val="18"/>
        </w:rPr>
        <w:t>2现场仪表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应按照我们的标准，为油罐和管道提供必要的本地仪表，以确保电站的高效、可靠运行。仪表应适合热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带气候以适应电站环境条件。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但当油罐不在承包商供货范围内时，油罐的仪表应由油罐供应商提供。如有可能，应用于类似领域、功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能相近的仪表应为统一类型、由统一的生产商提供。但是，打包安装的仪表应受服从生产商的标准和惯例。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每台仪表都应通过鉴定并根据工作标准贴上标签号。本地指示器应使用工程单位，仪表刻度范围应采用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国际单位表示。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Cs/>
          <w:kern w:val="0"/>
          <w:sz w:val="18"/>
          <w:szCs w:val="18"/>
        </w:rPr>
        <w:t>所有仪表均应为工业型，并经现场验证。</w:t>
      </w: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p>
      <w:pPr>
        <w:widowControl/>
        <w:spacing w:beforeLines="50" w:afterLines="50" w:line="207" w:lineRule="atLeast"/>
        <w:jc w:val="left"/>
        <w:rPr>
          <w:rFonts w:ascii="Arial" w:hAnsi="Arial" w:eastAsia="宋体" w:cs="Arial"/>
          <w:bCs/>
          <w:kern w:val="0"/>
          <w:sz w:val="18"/>
          <w:szCs w:val="18"/>
        </w:rPr>
      </w:pPr>
    </w:p>
    <w:bookmarkEnd w:id="28"/>
    <w:p>
      <w:pPr>
        <w:pStyle w:val="2"/>
        <w:rPr>
          <w:kern w:val="0"/>
        </w:rPr>
      </w:pPr>
      <w:bookmarkStart w:id="31" w:name="_Toc240166687"/>
      <w:bookmarkStart w:id="32" w:name="_Toc478801112"/>
      <w:bookmarkStart w:id="33" w:name="_Toc381727439"/>
      <w:r>
        <w:rPr>
          <w:rFonts w:hint="eastAsia"/>
          <w:kern w:val="0"/>
        </w:rPr>
        <w:t>3.</w:t>
      </w:r>
      <w:r>
        <w:rPr>
          <w:kern w:val="0"/>
        </w:rPr>
        <w:t>S</w:t>
      </w:r>
      <w:r>
        <w:rPr>
          <w:rFonts w:hint="eastAsia"/>
          <w:kern w:val="0"/>
        </w:rPr>
        <w:t>COPE OF SUPPLY</w:t>
      </w:r>
      <w:bookmarkEnd w:id="31"/>
      <w:r>
        <w:rPr>
          <w:rFonts w:hint="eastAsia"/>
          <w:kern w:val="0"/>
        </w:rPr>
        <w:t>供货范围</w:t>
      </w:r>
      <w:bookmarkEnd w:id="32"/>
      <w:bookmarkEnd w:id="33"/>
    </w:p>
    <w:tbl>
      <w:tblPr>
        <w:tblStyle w:val="21"/>
        <w:tblW w:w="8657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2081"/>
        <w:gridCol w:w="2410"/>
        <w:gridCol w:w="709"/>
        <w:gridCol w:w="850"/>
        <w:gridCol w:w="993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ITEM No.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DESCRIPTION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SPECIFICATION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REQUIRED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必需的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SCOPE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责任方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Qty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Unit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Supply供应商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AC090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OWNER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业主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GENERATOR SET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发电机组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Diesel engine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bCs/>
                <w:kern w:val="0"/>
                <w:sz w:val="18"/>
                <w:szCs w:val="18"/>
                <w:lang w:val="en-US"/>
              </w:rPr>
              <w:t xml:space="preserve">Mitsubishi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-SA"/>
              </w:rPr>
              <w:t>18KU30B 8350KW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Alternator with AVR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发电机带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AVR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JEC-114  9153KVA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0.8PF,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6.6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kV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, </w:t>
            </w: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Common bed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公共底盘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For engine and alternator, with lube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oil sump tank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Flexible coupling assembly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高弹性联轴器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MECHANICAL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机械辅助设备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hint="default" w:ascii="Calibri" w:hAnsi="Calibri" w:eastAsia="宋体" w:cs="Calibri"/>
                <w:b/>
                <w:bCs/>
                <w:kern w:val="0"/>
                <w:szCs w:val="21"/>
                <w:lang w:val="en-US"/>
              </w:rPr>
              <w:t>fuel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  <w:lang w:val="en-US"/>
              </w:rPr>
              <w:t>燃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重油供应单元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supply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00m3/hr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2.2.2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重油分离单元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HFO separation unit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250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hint="default" w:ascii="Calibri" w:hAnsi="Calibri" w:eastAsia="宋体" w:cs="Calibri"/>
                <w:kern w:val="0"/>
                <w:szCs w:val="21"/>
                <w:vertAlign w:val="superscript"/>
                <w:lang w:val="en-US"/>
              </w:rPr>
              <w:t>/hr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废气锅炉exhaust gas boiler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00t/hr 1.0mpa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LUBRICATING OIL( LO)SYSTEM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润滑油系统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2.4.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Lube Oil (Centrifuge) Separator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润滑油分离单元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Effective capacity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0.8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 per separator.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COMPRESSED AIR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压缩空气系统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Starting Air Compressor Unit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启动空气压缩机单元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37m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3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/h,30bar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Starting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启动空气瓶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00L,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2.5.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Control Air Receiver Unit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控制空气瓶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300L, 30kg/cm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with 40kg/cm</w:t>
            </w:r>
            <w:r>
              <w:rPr>
                <w:rFonts w:ascii="Calibri" w:hAnsi="Calibri" w:eastAsia="宋体" w:cs="Calibri"/>
                <w:kern w:val="0"/>
                <w:szCs w:val="21"/>
                <w:vertAlign w:val="superscript"/>
              </w:rPr>
              <w:t>2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relief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valve.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2.6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WATER COOLING SYSTEM 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水冷却系统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Radiator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散热器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HT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高温水膨胀水箱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2.6.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LT Expansion Tank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低温水膨胀水箱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300L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 xml:space="preserve">EXHAUST GAS SYSTEM </w:t>
            </w: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Cs w:val="21"/>
              </w:rPr>
              <w:t>排气系统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color w:val="FF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Silencer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消音器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2.7.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Expansion Bellows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膨胀节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9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OTHER EQUIPMENT AND MATERIALS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其他设备和材料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Piping &amp; Fitting &amp; Auxiliary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material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系统管路、管件和辅助材料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Valves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系统阀门和管件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2.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9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System Gauges\control &amp; Fitting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系统仪表、控制和管件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Pc(s)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ELECTRICAL AUXILIARY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电气辅助系统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MV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中压电气系统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Generator Circuit Breaker Panel (GB)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发电机出线屏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Station service transformer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KV Side CB Panel 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kV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KYN28-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24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, 630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 xml:space="preserve">A, 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25KA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3.1.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Station Service Transformer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厂用电变压器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0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KVA,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/0.4KV, Dyn11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LV ELECTRICAL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低压电气系统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LV Input CB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低压进线屏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ACB,0.4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k</w:t>
            </w:r>
            <w:r>
              <w:rPr>
                <w:rFonts w:ascii="Calibri" w:hAnsi="Calibri" w:eastAsia="宋体" w:cs="Calibri"/>
                <w:kern w:val="0"/>
                <w:szCs w:val="21"/>
              </w:rPr>
              <w:t xml:space="preserve">V, 1000A, 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60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H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z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3.2.3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Auxiliary Equipment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Units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 xml:space="preserve">CONTROL &amp; PROTECTION SYSTEM 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控制和保护系统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Diesel Engine local control panel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柴油机就地控制屏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Units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Central Operating System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集中操作系统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 xml:space="preserve">Including parallel machine device </w:t>
            </w:r>
            <w:r>
              <w:rPr>
                <w:rFonts w:ascii="Calibri" w:hAnsi="Calibri" w:eastAsia="宋体" w:cs="Calibri"/>
                <w:kern w:val="0"/>
                <w:szCs w:val="21"/>
                <w:lang w:val="en-US"/>
              </w:rPr>
              <w:t>包括并机装置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DC SYSTEM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直流系统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DC System Control Panel (DCC)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直流控制屏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Accumulator Battery Panel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蓄电池屏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Unit 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INSTALLATION MATERIALS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Power Cable 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动力电缆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Control Cable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控制电缆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3.</w:t>
            </w:r>
            <w:r>
              <w:rPr>
                <w:rFonts w:hint="eastAsia" w:ascii="Calibri" w:hAnsi="Calibri" w:eastAsia="宋体" w:cs="Calibri"/>
                <w:kern w:val="0"/>
                <w:szCs w:val="21"/>
              </w:rPr>
              <w:t>5</w:t>
            </w:r>
            <w:r>
              <w:rPr>
                <w:rFonts w:ascii="Calibri" w:hAnsi="Calibri" w:eastAsia="宋体" w:cs="Calibri"/>
                <w:kern w:val="0"/>
                <w:szCs w:val="21"/>
              </w:rPr>
              <w:t>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Cable Bridge &amp; Stand &amp; Install auxiliary materials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电缆桥架、支架和安装材料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lot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■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Spare Part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Engine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发动机标准备件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4.2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Generator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发电机标准备件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4.3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Standard Spare Parts for AUX. Equipment</w:t>
            </w:r>
            <w:r>
              <w:rPr>
                <w:rFonts w:ascii="Calibri" w:hAnsi="Calibri" w:eastAsia="宋体" w:cs="Calibri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辅助设备标准备件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Cs w:val="21"/>
                <w:lang w:val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Tool</w:t>
            </w: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5.1</w:t>
            </w:r>
          </w:p>
        </w:tc>
        <w:tc>
          <w:tcPr>
            <w:tcW w:w="2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 xml:space="preserve"> Tools for Engine</w:t>
            </w:r>
            <w:r>
              <w:rPr>
                <w:rFonts w:hint="eastAsia" w:ascii="宋体" w:hAnsi="宋体" w:eastAsia="宋体" w:cs="Calibri"/>
                <w:kern w:val="0"/>
                <w:szCs w:val="21"/>
              </w:rPr>
              <w:t>工具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center" w:pos="306"/>
                <w:tab w:val="left" w:pos="428"/>
              </w:tabs>
              <w:jc w:val="left"/>
              <w:rPr>
                <w:rFonts w:hint="default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ab/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Cs w:val="21"/>
              </w:rPr>
              <w:t>Set(s)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Arial Unicode MS" w:hAnsi="Arial Unicode MS" w:eastAsia="Arial Unicode MS" w:cs="Arial Unicode MS"/>
                <w:kern w:val="0"/>
                <w:szCs w:val="21"/>
              </w:rPr>
              <w:t>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Cs w:val="21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Cs w:val="21"/>
              </w:rPr>
              <w:t>　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T64E9BFA0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45661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>
            <w:pPr>
              <w:pStyle w:val="12"/>
              <w:ind w:right="450"/>
            </w:pP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Arial" w:hAnsi="Arial" w:cs="Arial"/>
                <w:b/>
                <w:kern w:val="0"/>
                <w:sz w:val="21"/>
                <w:szCs w:val="21"/>
                <w:lang w:val="en-US"/>
              </w:rPr>
              <w:t>105MW P</w:t>
            </w:r>
            <w:r>
              <w:rPr>
                <w:rFonts w:ascii="Arial" w:hAnsi="Arial" w:cs="Arial"/>
                <w:b/>
                <w:kern w:val="0"/>
                <w:sz w:val="21"/>
                <w:szCs w:val="21"/>
              </w:rPr>
              <w:t>ower</w:t>
            </w:r>
            <w:r>
              <w:rPr>
                <w:rFonts w:hint="eastAsia" w:ascii="Arial" w:hAnsi="Arial" w:cs="Arial"/>
                <w:b/>
                <w:kern w:val="0"/>
                <w:sz w:val="21"/>
                <w:szCs w:val="21"/>
              </w:rPr>
              <w:t xml:space="preserve"> Plant Prop    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207" w:lineRule="atLeast"/>
      <w:jc w:val="both"/>
      <w:rPr>
        <w:rFonts w:ascii="Arial" w:hAnsi="Arial" w:eastAsia="宋体" w:cs="Arial"/>
        <w:b/>
        <w:bCs/>
        <w:kern w:val="0"/>
        <w:sz w:val="32"/>
        <w:szCs w:val="32"/>
      </w:rPr>
    </w:pPr>
    <w:r>
      <w:rPr>
        <w:rFonts w:hint="eastAsia" w:ascii="Arial" w:hAnsi="Arial" w:eastAsia="宋体" w:cs="Arial"/>
        <w:b/>
        <w:bCs/>
        <w:kern w:val="0"/>
        <w:szCs w:val="21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487DC6"/>
    <w:multiLevelType w:val="multilevel"/>
    <w:tmpl w:val="AA487DC6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3B2F3CD6"/>
    <w:multiLevelType w:val="multilevel"/>
    <w:tmpl w:val="3B2F3CD6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2">
    <w:nsid w:val="67A26F66"/>
    <w:multiLevelType w:val="multilevel"/>
    <w:tmpl w:val="67A26F66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6E365DAE"/>
    <w:multiLevelType w:val="multilevel"/>
    <w:tmpl w:val="6E365DAE"/>
    <w:lvl w:ilvl="0" w:tentative="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713F4722"/>
    <w:multiLevelType w:val="multilevel"/>
    <w:tmpl w:val="713F4722"/>
    <w:lvl w:ilvl="0" w:tentative="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46E72A3"/>
    <w:multiLevelType w:val="multilevel"/>
    <w:tmpl w:val="746E72A3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5E808B3"/>
    <w:multiLevelType w:val="multilevel"/>
    <w:tmpl w:val="75E808B3"/>
    <w:lvl w:ilvl="0" w:tentative="0">
      <w:start w:val="1"/>
      <w:numFmt w:val="decimal"/>
      <w:lvlText w:val="%1)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E183342"/>
    <w:multiLevelType w:val="multilevel"/>
    <w:tmpl w:val="7E183342"/>
    <w:lvl w:ilvl="0" w:tentative="0">
      <w:start w:val="1"/>
      <w:numFmt w:val="decimal"/>
      <w:lvlText w:val="%1）"/>
      <w:lvlJc w:val="left"/>
      <w:pPr>
        <w:ind w:left="92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9" w:hanging="420"/>
      </w:pPr>
    </w:lvl>
    <w:lvl w:ilvl="2" w:tentative="0">
      <w:start w:val="1"/>
      <w:numFmt w:val="lowerRoman"/>
      <w:lvlText w:val="%3."/>
      <w:lvlJc w:val="right"/>
      <w:pPr>
        <w:ind w:left="1829" w:hanging="420"/>
      </w:pPr>
    </w:lvl>
    <w:lvl w:ilvl="3" w:tentative="0">
      <w:start w:val="1"/>
      <w:numFmt w:val="decimal"/>
      <w:lvlText w:val="%4."/>
      <w:lvlJc w:val="left"/>
      <w:pPr>
        <w:ind w:left="2249" w:hanging="420"/>
      </w:pPr>
    </w:lvl>
    <w:lvl w:ilvl="4" w:tentative="0">
      <w:start w:val="1"/>
      <w:numFmt w:val="lowerLetter"/>
      <w:lvlText w:val="%5)"/>
      <w:lvlJc w:val="left"/>
      <w:pPr>
        <w:ind w:left="2669" w:hanging="420"/>
      </w:pPr>
    </w:lvl>
    <w:lvl w:ilvl="5" w:tentative="0">
      <w:start w:val="1"/>
      <w:numFmt w:val="lowerRoman"/>
      <w:lvlText w:val="%6."/>
      <w:lvlJc w:val="right"/>
      <w:pPr>
        <w:ind w:left="3089" w:hanging="420"/>
      </w:pPr>
    </w:lvl>
    <w:lvl w:ilvl="6" w:tentative="0">
      <w:start w:val="1"/>
      <w:numFmt w:val="decimal"/>
      <w:lvlText w:val="%7."/>
      <w:lvlJc w:val="left"/>
      <w:pPr>
        <w:ind w:left="3509" w:hanging="420"/>
      </w:pPr>
    </w:lvl>
    <w:lvl w:ilvl="7" w:tentative="0">
      <w:start w:val="1"/>
      <w:numFmt w:val="lowerLetter"/>
      <w:lvlText w:val="%8)"/>
      <w:lvlJc w:val="left"/>
      <w:pPr>
        <w:ind w:left="3929" w:hanging="420"/>
      </w:pPr>
    </w:lvl>
    <w:lvl w:ilvl="8" w:tentative="0">
      <w:start w:val="1"/>
      <w:numFmt w:val="lowerRoman"/>
      <w:lvlText w:val="%9."/>
      <w:lvlJc w:val="right"/>
      <w:pPr>
        <w:ind w:left="4349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MGVlMjkxMjQwMjdkYzUxZmJlZTRjZTY4ZmJmM2QifQ=="/>
  </w:docVars>
  <w:rsids>
    <w:rsidRoot w:val="00DA7877"/>
    <w:rsid w:val="000039A4"/>
    <w:rsid w:val="00003EC9"/>
    <w:rsid w:val="000068E4"/>
    <w:rsid w:val="00010FEA"/>
    <w:rsid w:val="000229F2"/>
    <w:rsid w:val="000237F6"/>
    <w:rsid w:val="00027408"/>
    <w:rsid w:val="00031394"/>
    <w:rsid w:val="00037D3B"/>
    <w:rsid w:val="0004103F"/>
    <w:rsid w:val="000446F6"/>
    <w:rsid w:val="00046A7D"/>
    <w:rsid w:val="00050A75"/>
    <w:rsid w:val="00050C84"/>
    <w:rsid w:val="000512CE"/>
    <w:rsid w:val="00052759"/>
    <w:rsid w:val="00056FAE"/>
    <w:rsid w:val="000573C2"/>
    <w:rsid w:val="00061CB3"/>
    <w:rsid w:val="00062904"/>
    <w:rsid w:val="00062C2D"/>
    <w:rsid w:val="000714B9"/>
    <w:rsid w:val="0007358A"/>
    <w:rsid w:val="0008773E"/>
    <w:rsid w:val="00087798"/>
    <w:rsid w:val="00087C77"/>
    <w:rsid w:val="00090CF2"/>
    <w:rsid w:val="00090FFF"/>
    <w:rsid w:val="0009288C"/>
    <w:rsid w:val="000957CE"/>
    <w:rsid w:val="000A0142"/>
    <w:rsid w:val="000A2BF2"/>
    <w:rsid w:val="000A62DD"/>
    <w:rsid w:val="000B25EC"/>
    <w:rsid w:val="000B3333"/>
    <w:rsid w:val="000B43B3"/>
    <w:rsid w:val="000B5E9B"/>
    <w:rsid w:val="000C05F3"/>
    <w:rsid w:val="000C11B9"/>
    <w:rsid w:val="000C3510"/>
    <w:rsid w:val="000C4B3E"/>
    <w:rsid w:val="000C5751"/>
    <w:rsid w:val="000C5FB8"/>
    <w:rsid w:val="000C6783"/>
    <w:rsid w:val="000D1237"/>
    <w:rsid w:val="000D2A8F"/>
    <w:rsid w:val="000E2C15"/>
    <w:rsid w:val="000E2D63"/>
    <w:rsid w:val="000E4731"/>
    <w:rsid w:val="000E61AD"/>
    <w:rsid w:val="000F1593"/>
    <w:rsid w:val="000F79C1"/>
    <w:rsid w:val="001022B1"/>
    <w:rsid w:val="00110F11"/>
    <w:rsid w:val="001111DA"/>
    <w:rsid w:val="00112782"/>
    <w:rsid w:val="001148E5"/>
    <w:rsid w:val="00116404"/>
    <w:rsid w:val="001177B9"/>
    <w:rsid w:val="00117B15"/>
    <w:rsid w:val="001208FD"/>
    <w:rsid w:val="00123425"/>
    <w:rsid w:val="00123E44"/>
    <w:rsid w:val="00123F49"/>
    <w:rsid w:val="00130E35"/>
    <w:rsid w:val="00134D22"/>
    <w:rsid w:val="001362BA"/>
    <w:rsid w:val="0013739E"/>
    <w:rsid w:val="00142B67"/>
    <w:rsid w:val="00144B57"/>
    <w:rsid w:val="00145377"/>
    <w:rsid w:val="00155767"/>
    <w:rsid w:val="00155CBE"/>
    <w:rsid w:val="0016153E"/>
    <w:rsid w:val="0016345F"/>
    <w:rsid w:val="0016458D"/>
    <w:rsid w:val="00165211"/>
    <w:rsid w:val="001664D0"/>
    <w:rsid w:val="0018081C"/>
    <w:rsid w:val="00194C27"/>
    <w:rsid w:val="001962DE"/>
    <w:rsid w:val="00196869"/>
    <w:rsid w:val="00197397"/>
    <w:rsid w:val="001A4F9C"/>
    <w:rsid w:val="001B6FEC"/>
    <w:rsid w:val="001C1799"/>
    <w:rsid w:val="001C4C4B"/>
    <w:rsid w:val="001D063E"/>
    <w:rsid w:val="001D0785"/>
    <w:rsid w:val="001D0FEF"/>
    <w:rsid w:val="001D0FF9"/>
    <w:rsid w:val="001E0F0C"/>
    <w:rsid w:val="001F2C41"/>
    <w:rsid w:val="001F615A"/>
    <w:rsid w:val="001F70A3"/>
    <w:rsid w:val="002047A1"/>
    <w:rsid w:val="002076EA"/>
    <w:rsid w:val="0021257D"/>
    <w:rsid w:val="00222101"/>
    <w:rsid w:val="0022356B"/>
    <w:rsid w:val="00231227"/>
    <w:rsid w:val="002319B9"/>
    <w:rsid w:val="002339CD"/>
    <w:rsid w:val="00234CA9"/>
    <w:rsid w:val="00234D5E"/>
    <w:rsid w:val="00240C2A"/>
    <w:rsid w:val="002426A4"/>
    <w:rsid w:val="00265A94"/>
    <w:rsid w:val="00265B2C"/>
    <w:rsid w:val="0027000F"/>
    <w:rsid w:val="00282E45"/>
    <w:rsid w:val="0028636C"/>
    <w:rsid w:val="00287EDB"/>
    <w:rsid w:val="002929A7"/>
    <w:rsid w:val="00293BB3"/>
    <w:rsid w:val="002969C6"/>
    <w:rsid w:val="00297541"/>
    <w:rsid w:val="002A0CFE"/>
    <w:rsid w:val="002A4260"/>
    <w:rsid w:val="002B04C1"/>
    <w:rsid w:val="002B04F0"/>
    <w:rsid w:val="002B4767"/>
    <w:rsid w:val="002C2F51"/>
    <w:rsid w:val="002C427D"/>
    <w:rsid w:val="002D0DB2"/>
    <w:rsid w:val="002D406F"/>
    <w:rsid w:val="002D4720"/>
    <w:rsid w:val="002D5995"/>
    <w:rsid w:val="002D5ADC"/>
    <w:rsid w:val="002E30D7"/>
    <w:rsid w:val="002E3468"/>
    <w:rsid w:val="002E4F73"/>
    <w:rsid w:val="002E7B7B"/>
    <w:rsid w:val="002F20BA"/>
    <w:rsid w:val="002F2573"/>
    <w:rsid w:val="002F3A06"/>
    <w:rsid w:val="002F6483"/>
    <w:rsid w:val="003012A5"/>
    <w:rsid w:val="0030211E"/>
    <w:rsid w:val="00302D31"/>
    <w:rsid w:val="00303772"/>
    <w:rsid w:val="00307A4B"/>
    <w:rsid w:val="003143FA"/>
    <w:rsid w:val="00320677"/>
    <w:rsid w:val="003240E1"/>
    <w:rsid w:val="00325886"/>
    <w:rsid w:val="0033035C"/>
    <w:rsid w:val="00330AF4"/>
    <w:rsid w:val="00334D9A"/>
    <w:rsid w:val="00335AE8"/>
    <w:rsid w:val="00340862"/>
    <w:rsid w:val="00346AE1"/>
    <w:rsid w:val="0034757A"/>
    <w:rsid w:val="0035011B"/>
    <w:rsid w:val="00355D6C"/>
    <w:rsid w:val="003612DA"/>
    <w:rsid w:val="00370ED2"/>
    <w:rsid w:val="00374E2B"/>
    <w:rsid w:val="003811F3"/>
    <w:rsid w:val="00381E0F"/>
    <w:rsid w:val="003820BC"/>
    <w:rsid w:val="00386AED"/>
    <w:rsid w:val="0039080B"/>
    <w:rsid w:val="00390F86"/>
    <w:rsid w:val="003A31A2"/>
    <w:rsid w:val="003A3B68"/>
    <w:rsid w:val="003A69DE"/>
    <w:rsid w:val="003B2247"/>
    <w:rsid w:val="003B5F3C"/>
    <w:rsid w:val="003B6B7D"/>
    <w:rsid w:val="003B7FD1"/>
    <w:rsid w:val="003C1672"/>
    <w:rsid w:val="003C173B"/>
    <w:rsid w:val="003D7515"/>
    <w:rsid w:val="003E0B9A"/>
    <w:rsid w:val="003E3E73"/>
    <w:rsid w:val="003E68F4"/>
    <w:rsid w:val="003E7386"/>
    <w:rsid w:val="003F7A83"/>
    <w:rsid w:val="0040108C"/>
    <w:rsid w:val="00402A6C"/>
    <w:rsid w:val="004115AF"/>
    <w:rsid w:val="00413427"/>
    <w:rsid w:val="004143F5"/>
    <w:rsid w:val="00416543"/>
    <w:rsid w:val="00421FAC"/>
    <w:rsid w:val="00424413"/>
    <w:rsid w:val="004275C3"/>
    <w:rsid w:val="00436F5D"/>
    <w:rsid w:val="0044085A"/>
    <w:rsid w:val="004440E0"/>
    <w:rsid w:val="004514C6"/>
    <w:rsid w:val="004521B8"/>
    <w:rsid w:val="0045393F"/>
    <w:rsid w:val="004558C0"/>
    <w:rsid w:val="00457490"/>
    <w:rsid w:val="004608EC"/>
    <w:rsid w:val="00460E01"/>
    <w:rsid w:val="00462615"/>
    <w:rsid w:val="004634AA"/>
    <w:rsid w:val="00471856"/>
    <w:rsid w:val="0047234F"/>
    <w:rsid w:val="00475CA1"/>
    <w:rsid w:val="0048122E"/>
    <w:rsid w:val="004817FB"/>
    <w:rsid w:val="00487609"/>
    <w:rsid w:val="00495A49"/>
    <w:rsid w:val="004968BA"/>
    <w:rsid w:val="00496D4A"/>
    <w:rsid w:val="0049744A"/>
    <w:rsid w:val="004977A9"/>
    <w:rsid w:val="004977DC"/>
    <w:rsid w:val="004B07D1"/>
    <w:rsid w:val="004B61D6"/>
    <w:rsid w:val="004B6408"/>
    <w:rsid w:val="004D2D44"/>
    <w:rsid w:val="004D49C9"/>
    <w:rsid w:val="004E1167"/>
    <w:rsid w:val="004E57F5"/>
    <w:rsid w:val="0050110E"/>
    <w:rsid w:val="005037B8"/>
    <w:rsid w:val="00503DC1"/>
    <w:rsid w:val="00504ACE"/>
    <w:rsid w:val="005069F5"/>
    <w:rsid w:val="00507C9E"/>
    <w:rsid w:val="00510476"/>
    <w:rsid w:val="00511860"/>
    <w:rsid w:val="00520EC8"/>
    <w:rsid w:val="00521BEA"/>
    <w:rsid w:val="00523890"/>
    <w:rsid w:val="00524BD2"/>
    <w:rsid w:val="005305D2"/>
    <w:rsid w:val="00543965"/>
    <w:rsid w:val="0055058F"/>
    <w:rsid w:val="005565E8"/>
    <w:rsid w:val="00566834"/>
    <w:rsid w:val="0056785C"/>
    <w:rsid w:val="00581564"/>
    <w:rsid w:val="00581895"/>
    <w:rsid w:val="00585D4E"/>
    <w:rsid w:val="00592428"/>
    <w:rsid w:val="005949FD"/>
    <w:rsid w:val="00597A22"/>
    <w:rsid w:val="005A0122"/>
    <w:rsid w:val="005A42D7"/>
    <w:rsid w:val="005B1441"/>
    <w:rsid w:val="005B4A4E"/>
    <w:rsid w:val="005B7AD5"/>
    <w:rsid w:val="005C370F"/>
    <w:rsid w:val="005C3CD7"/>
    <w:rsid w:val="005C7027"/>
    <w:rsid w:val="005D0259"/>
    <w:rsid w:val="005D1394"/>
    <w:rsid w:val="005D1818"/>
    <w:rsid w:val="005D1C3A"/>
    <w:rsid w:val="005D2645"/>
    <w:rsid w:val="005D3F21"/>
    <w:rsid w:val="005D60F5"/>
    <w:rsid w:val="005E1551"/>
    <w:rsid w:val="005E5240"/>
    <w:rsid w:val="005F11A1"/>
    <w:rsid w:val="005F452E"/>
    <w:rsid w:val="005F473D"/>
    <w:rsid w:val="00606253"/>
    <w:rsid w:val="006065D3"/>
    <w:rsid w:val="00606E8D"/>
    <w:rsid w:val="00607304"/>
    <w:rsid w:val="00607A73"/>
    <w:rsid w:val="00611C80"/>
    <w:rsid w:val="006140F7"/>
    <w:rsid w:val="00621097"/>
    <w:rsid w:val="00622838"/>
    <w:rsid w:val="0062329A"/>
    <w:rsid w:val="00625872"/>
    <w:rsid w:val="006316EE"/>
    <w:rsid w:val="006340C3"/>
    <w:rsid w:val="006376B8"/>
    <w:rsid w:val="00641851"/>
    <w:rsid w:val="00645229"/>
    <w:rsid w:val="00654D88"/>
    <w:rsid w:val="00655FE9"/>
    <w:rsid w:val="00661D70"/>
    <w:rsid w:val="00670878"/>
    <w:rsid w:val="00674519"/>
    <w:rsid w:val="0067509B"/>
    <w:rsid w:val="006834FB"/>
    <w:rsid w:val="0068676C"/>
    <w:rsid w:val="00686B89"/>
    <w:rsid w:val="006874C0"/>
    <w:rsid w:val="00693AA8"/>
    <w:rsid w:val="006A3D68"/>
    <w:rsid w:val="006A481D"/>
    <w:rsid w:val="006A57FD"/>
    <w:rsid w:val="006A5B07"/>
    <w:rsid w:val="006B2EC9"/>
    <w:rsid w:val="006C3D1B"/>
    <w:rsid w:val="006C6396"/>
    <w:rsid w:val="006D44B7"/>
    <w:rsid w:val="006F0F35"/>
    <w:rsid w:val="006F14D7"/>
    <w:rsid w:val="006F3ADC"/>
    <w:rsid w:val="0070124F"/>
    <w:rsid w:val="0070364E"/>
    <w:rsid w:val="00706E4C"/>
    <w:rsid w:val="00712C45"/>
    <w:rsid w:val="00715547"/>
    <w:rsid w:val="00717023"/>
    <w:rsid w:val="00723E6B"/>
    <w:rsid w:val="007256AC"/>
    <w:rsid w:val="00725A8A"/>
    <w:rsid w:val="00730470"/>
    <w:rsid w:val="0073133D"/>
    <w:rsid w:val="007334FC"/>
    <w:rsid w:val="00734014"/>
    <w:rsid w:val="0074002F"/>
    <w:rsid w:val="00740552"/>
    <w:rsid w:val="00741302"/>
    <w:rsid w:val="00741652"/>
    <w:rsid w:val="00744937"/>
    <w:rsid w:val="007457D6"/>
    <w:rsid w:val="00745CDF"/>
    <w:rsid w:val="00746131"/>
    <w:rsid w:val="007528F7"/>
    <w:rsid w:val="007537C3"/>
    <w:rsid w:val="00753CF2"/>
    <w:rsid w:val="00757937"/>
    <w:rsid w:val="007610CA"/>
    <w:rsid w:val="00765CB9"/>
    <w:rsid w:val="00775469"/>
    <w:rsid w:val="00782B05"/>
    <w:rsid w:val="00782E9E"/>
    <w:rsid w:val="00783E65"/>
    <w:rsid w:val="00786191"/>
    <w:rsid w:val="00790BD2"/>
    <w:rsid w:val="00792FD6"/>
    <w:rsid w:val="00793F58"/>
    <w:rsid w:val="00795289"/>
    <w:rsid w:val="00796001"/>
    <w:rsid w:val="0079721F"/>
    <w:rsid w:val="007A0133"/>
    <w:rsid w:val="007A46E7"/>
    <w:rsid w:val="007A5FF8"/>
    <w:rsid w:val="007B111D"/>
    <w:rsid w:val="007B168B"/>
    <w:rsid w:val="007B17F7"/>
    <w:rsid w:val="007B6370"/>
    <w:rsid w:val="007C0585"/>
    <w:rsid w:val="007C29EB"/>
    <w:rsid w:val="007C5DDB"/>
    <w:rsid w:val="007C6FE1"/>
    <w:rsid w:val="007D2626"/>
    <w:rsid w:val="007D6B33"/>
    <w:rsid w:val="007D7001"/>
    <w:rsid w:val="007E1434"/>
    <w:rsid w:val="007F1A56"/>
    <w:rsid w:val="008044D7"/>
    <w:rsid w:val="00813947"/>
    <w:rsid w:val="0081480C"/>
    <w:rsid w:val="00815529"/>
    <w:rsid w:val="00815FB3"/>
    <w:rsid w:val="00820D23"/>
    <w:rsid w:val="00822717"/>
    <w:rsid w:val="0082281E"/>
    <w:rsid w:val="00833435"/>
    <w:rsid w:val="008400EA"/>
    <w:rsid w:val="00843350"/>
    <w:rsid w:val="00846421"/>
    <w:rsid w:val="00846B34"/>
    <w:rsid w:val="00846BE6"/>
    <w:rsid w:val="00847722"/>
    <w:rsid w:val="00847F9D"/>
    <w:rsid w:val="00850DDF"/>
    <w:rsid w:val="00850E97"/>
    <w:rsid w:val="00854F4E"/>
    <w:rsid w:val="0085694C"/>
    <w:rsid w:val="00860099"/>
    <w:rsid w:val="00865434"/>
    <w:rsid w:val="00867828"/>
    <w:rsid w:val="00872486"/>
    <w:rsid w:val="008738E2"/>
    <w:rsid w:val="008764D6"/>
    <w:rsid w:val="00876EC6"/>
    <w:rsid w:val="008773D1"/>
    <w:rsid w:val="00877BB1"/>
    <w:rsid w:val="0088700B"/>
    <w:rsid w:val="0088712B"/>
    <w:rsid w:val="008945E5"/>
    <w:rsid w:val="00894B9D"/>
    <w:rsid w:val="00895C6D"/>
    <w:rsid w:val="00896628"/>
    <w:rsid w:val="008A4A84"/>
    <w:rsid w:val="008A6040"/>
    <w:rsid w:val="008A7A38"/>
    <w:rsid w:val="008B0044"/>
    <w:rsid w:val="008B1740"/>
    <w:rsid w:val="008C0AC1"/>
    <w:rsid w:val="008C6100"/>
    <w:rsid w:val="008C7646"/>
    <w:rsid w:val="008D3228"/>
    <w:rsid w:val="008D3B8B"/>
    <w:rsid w:val="008D3FC6"/>
    <w:rsid w:val="008E1F37"/>
    <w:rsid w:val="008E1FE2"/>
    <w:rsid w:val="008E2ADE"/>
    <w:rsid w:val="008E54E7"/>
    <w:rsid w:val="008E5CD9"/>
    <w:rsid w:val="008F0B9E"/>
    <w:rsid w:val="008F1C80"/>
    <w:rsid w:val="008F7F47"/>
    <w:rsid w:val="00900A6B"/>
    <w:rsid w:val="00906C39"/>
    <w:rsid w:val="00910A17"/>
    <w:rsid w:val="00910FB4"/>
    <w:rsid w:val="0091361B"/>
    <w:rsid w:val="00913A10"/>
    <w:rsid w:val="00913F02"/>
    <w:rsid w:val="009203DF"/>
    <w:rsid w:val="0092232E"/>
    <w:rsid w:val="009224CC"/>
    <w:rsid w:val="00926D97"/>
    <w:rsid w:val="009411E5"/>
    <w:rsid w:val="00946946"/>
    <w:rsid w:val="00947BE9"/>
    <w:rsid w:val="00951B76"/>
    <w:rsid w:val="00951DFD"/>
    <w:rsid w:val="00952667"/>
    <w:rsid w:val="00953AD7"/>
    <w:rsid w:val="00955EAC"/>
    <w:rsid w:val="0095621D"/>
    <w:rsid w:val="009573B1"/>
    <w:rsid w:val="00960482"/>
    <w:rsid w:val="00962FFB"/>
    <w:rsid w:val="00977E69"/>
    <w:rsid w:val="00981200"/>
    <w:rsid w:val="00987E8B"/>
    <w:rsid w:val="00990AA3"/>
    <w:rsid w:val="00993999"/>
    <w:rsid w:val="009940B9"/>
    <w:rsid w:val="009975FF"/>
    <w:rsid w:val="009A17CD"/>
    <w:rsid w:val="009A2065"/>
    <w:rsid w:val="009A29F4"/>
    <w:rsid w:val="009D1375"/>
    <w:rsid w:val="009D3A7B"/>
    <w:rsid w:val="009D6CB8"/>
    <w:rsid w:val="009D6EAA"/>
    <w:rsid w:val="009E1572"/>
    <w:rsid w:val="009E17D6"/>
    <w:rsid w:val="009E2545"/>
    <w:rsid w:val="009E7995"/>
    <w:rsid w:val="009F04E7"/>
    <w:rsid w:val="009F0543"/>
    <w:rsid w:val="009F37AE"/>
    <w:rsid w:val="00A005BE"/>
    <w:rsid w:val="00A029C4"/>
    <w:rsid w:val="00A048AA"/>
    <w:rsid w:val="00A10800"/>
    <w:rsid w:val="00A12887"/>
    <w:rsid w:val="00A135FF"/>
    <w:rsid w:val="00A149E2"/>
    <w:rsid w:val="00A14E7D"/>
    <w:rsid w:val="00A1603C"/>
    <w:rsid w:val="00A17E09"/>
    <w:rsid w:val="00A24CE8"/>
    <w:rsid w:val="00A27F4C"/>
    <w:rsid w:val="00A32078"/>
    <w:rsid w:val="00A32C5B"/>
    <w:rsid w:val="00A36CDA"/>
    <w:rsid w:val="00A417ED"/>
    <w:rsid w:val="00A42190"/>
    <w:rsid w:val="00A47487"/>
    <w:rsid w:val="00A50023"/>
    <w:rsid w:val="00A532FF"/>
    <w:rsid w:val="00A60B93"/>
    <w:rsid w:val="00A62BA8"/>
    <w:rsid w:val="00A6587B"/>
    <w:rsid w:val="00A65CE4"/>
    <w:rsid w:val="00A671B0"/>
    <w:rsid w:val="00A67398"/>
    <w:rsid w:val="00A737BD"/>
    <w:rsid w:val="00A73CC4"/>
    <w:rsid w:val="00A76888"/>
    <w:rsid w:val="00A773EF"/>
    <w:rsid w:val="00A84DB7"/>
    <w:rsid w:val="00A85BB9"/>
    <w:rsid w:val="00A912DB"/>
    <w:rsid w:val="00A92D67"/>
    <w:rsid w:val="00A96F5F"/>
    <w:rsid w:val="00AA118A"/>
    <w:rsid w:val="00AA1F07"/>
    <w:rsid w:val="00AA6A59"/>
    <w:rsid w:val="00AA7E72"/>
    <w:rsid w:val="00AB229C"/>
    <w:rsid w:val="00AB4883"/>
    <w:rsid w:val="00AB5D77"/>
    <w:rsid w:val="00AB7E95"/>
    <w:rsid w:val="00AC146D"/>
    <w:rsid w:val="00AC769C"/>
    <w:rsid w:val="00AD252E"/>
    <w:rsid w:val="00AD5DC6"/>
    <w:rsid w:val="00AE0F69"/>
    <w:rsid w:val="00AE1D53"/>
    <w:rsid w:val="00AE1F44"/>
    <w:rsid w:val="00AE4475"/>
    <w:rsid w:val="00AE62D3"/>
    <w:rsid w:val="00AF2358"/>
    <w:rsid w:val="00AF311C"/>
    <w:rsid w:val="00AF57B8"/>
    <w:rsid w:val="00AF5F18"/>
    <w:rsid w:val="00B00229"/>
    <w:rsid w:val="00B10B1D"/>
    <w:rsid w:val="00B130CD"/>
    <w:rsid w:val="00B15E69"/>
    <w:rsid w:val="00B22DCA"/>
    <w:rsid w:val="00B33990"/>
    <w:rsid w:val="00B36CBF"/>
    <w:rsid w:val="00B36CF7"/>
    <w:rsid w:val="00B42D18"/>
    <w:rsid w:val="00B43D4C"/>
    <w:rsid w:val="00B45C7A"/>
    <w:rsid w:val="00B51B3C"/>
    <w:rsid w:val="00B53260"/>
    <w:rsid w:val="00B54611"/>
    <w:rsid w:val="00B64995"/>
    <w:rsid w:val="00B66683"/>
    <w:rsid w:val="00B70B19"/>
    <w:rsid w:val="00B71369"/>
    <w:rsid w:val="00B7221B"/>
    <w:rsid w:val="00B73789"/>
    <w:rsid w:val="00B74E0D"/>
    <w:rsid w:val="00B74F33"/>
    <w:rsid w:val="00B767F0"/>
    <w:rsid w:val="00B76AB0"/>
    <w:rsid w:val="00B76C0B"/>
    <w:rsid w:val="00B7754B"/>
    <w:rsid w:val="00B84155"/>
    <w:rsid w:val="00B868C0"/>
    <w:rsid w:val="00B8770D"/>
    <w:rsid w:val="00B90701"/>
    <w:rsid w:val="00B95D37"/>
    <w:rsid w:val="00B97CCB"/>
    <w:rsid w:val="00BA114D"/>
    <w:rsid w:val="00BA369C"/>
    <w:rsid w:val="00BA6631"/>
    <w:rsid w:val="00BB0E01"/>
    <w:rsid w:val="00BB181E"/>
    <w:rsid w:val="00BB2328"/>
    <w:rsid w:val="00BB75A3"/>
    <w:rsid w:val="00BB7672"/>
    <w:rsid w:val="00BC3C34"/>
    <w:rsid w:val="00BC3FF4"/>
    <w:rsid w:val="00BC7124"/>
    <w:rsid w:val="00BD00EC"/>
    <w:rsid w:val="00BD114A"/>
    <w:rsid w:val="00BD29A6"/>
    <w:rsid w:val="00BD48A3"/>
    <w:rsid w:val="00BE1AF5"/>
    <w:rsid w:val="00BE2B56"/>
    <w:rsid w:val="00BE3C1B"/>
    <w:rsid w:val="00BE62EC"/>
    <w:rsid w:val="00BF09A3"/>
    <w:rsid w:val="00BF197D"/>
    <w:rsid w:val="00BF552A"/>
    <w:rsid w:val="00BF57FA"/>
    <w:rsid w:val="00BF5BA1"/>
    <w:rsid w:val="00C01206"/>
    <w:rsid w:val="00C04C21"/>
    <w:rsid w:val="00C04C9D"/>
    <w:rsid w:val="00C05899"/>
    <w:rsid w:val="00C10D91"/>
    <w:rsid w:val="00C14DF4"/>
    <w:rsid w:val="00C15573"/>
    <w:rsid w:val="00C15FD1"/>
    <w:rsid w:val="00C16F75"/>
    <w:rsid w:val="00C230E0"/>
    <w:rsid w:val="00C248A9"/>
    <w:rsid w:val="00C270B8"/>
    <w:rsid w:val="00C279D4"/>
    <w:rsid w:val="00C30E98"/>
    <w:rsid w:val="00C407AB"/>
    <w:rsid w:val="00C45DDC"/>
    <w:rsid w:val="00C46A4C"/>
    <w:rsid w:val="00C547E3"/>
    <w:rsid w:val="00C55140"/>
    <w:rsid w:val="00C629DE"/>
    <w:rsid w:val="00C677E2"/>
    <w:rsid w:val="00C70FF9"/>
    <w:rsid w:val="00C712EC"/>
    <w:rsid w:val="00C71D42"/>
    <w:rsid w:val="00C72F5F"/>
    <w:rsid w:val="00C731DF"/>
    <w:rsid w:val="00C73B3B"/>
    <w:rsid w:val="00C742BB"/>
    <w:rsid w:val="00C74B33"/>
    <w:rsid w:val="00C800ED"/>
    <w:rsid w:val="00C80480"/>
    <w:rsid w:val="00C80739"/>
    <w:rsid w:val="00C82C7C"/>
    <w:rsid w:val="00C847A9"/>
    <w:rsid w:val="00C96E16"/>
    <w:rsid w:val="00CA0ED6"/>
    <w:rsid w:val="00CA137E"/>
    <w:rsid w:val="00CA3D21"/>
    <w:rsid w:val="00CA4587"/>
    <w:rsid w:val="00CB1387"/>
    <w:rsid w:val="00CB1D16"/>
    <w:rsid w:val="00CB21E9"/>
    <w:rsid w:val="00CB3117"/>
    <w:rsid w:val="00CB54E0"/>
    <w:rsid w:val="00CC1341"/>
    <w:rsid w:val="00CC184B"/>
    <w:rsid w:val="00CC27A9"/>
    <w:rsid w:val="00CC62C6"/>
    <w:rsid w:val="00CD3DBF"/>
    <w:rsid w:val="00CD41EF"/>
    <w:rsid w:val="00CD4538"/>
    <w:rsid w:val="00CE00A2"/>
    <w:rsid w:val="00CE316E"/>
    <w:rsid w:val="00CE43D1"/>
    <w:rsid w:val="00CE78C2"/>
    <w:rsid w:val="00CF17B7"/>
    <w:rsid w:val="00CF25C5"/>
    <w:rsid w:val="00CF4C76"/>
    <w:rsid w:val="00CF4F6D"/>
    <w:rsid w:val="00D053F4"/>
    <w:rsid w:val="00D07053"/>
    <w:rsid w:val="00D07882"/>
    <w:rsid w:val="00D1753B"/>
    <w:rsid w:val="00D17C57"/>
    <w:rsid w:val="00D24592"/>
    <w:rsid w:val="00D30E2E"/>
    <w:rsid w:val="00D32293"/>
    <w:rsid w:val="00D33CB6"/>
    <w:rsid w:val="00D33F09"/>
    <w:rsid w:val="00D36E43"/>
    <w:rsid w:val="00D403A8"/>
    <w:rsid w:val="00D42476"/>
    <w:rsid w:val="00D45920"/>
    <w:rsid w:val="00D555C5"/>
    <w:rsid w:val="00D56C24"/>
    <w:rsid w:val="00D64E13"/>
    <w:rsid w:val="00D64FC1"/>
    <w:rsid w:val="00D66A23"/>
    <w:rsid w:val="00D7004B"/>
    <w:rsid w:val="00D714FC"/>
    <w:rsid w:val="00D72102"/>
    <w:rsid w:val="00D725CD"/>
    <w:rsid w:val="00D74C92"/>
    <w:rsid w:val="00D7511B"/>
    <w:rsid w:val="00D81BB8"/>
    <w:rsid w:val="00D81C05"/>
    <w:rsid w:val="00D82EF0"/>
    <w:rsid w:val="00D85F8A"/>
    <w:rsid w:val="00D872EE"/>
    <w:rsid w:val="00D908C7"/>
    <w:rsid w:val="00D94B7D"/>
    <w:rsid w:val="00DA7877"/>
    <w:rsid w:val="00DA7BFB"/>
    <w:rsid w:val="00DB0BA6"/>
    <w:rsid w:val="00DB132F"/>
    <w:rsid w:val="00DB1B8A"/>
    <w:rsid w:val="00DB7DFD"/>
    <w:rsid w:val="00DC3DE3"/>
    <w:rsid w:val="00DC4312"/>
    <w:rsid w:val="00DC6406"/>
    <w:rsid w:val="00DC7A31"/>
    <w:rsid w:val="00DD132A"/>
    <w:rsid w:val="00DD3D15"/>
    <w:rsid w:val="00DD53C7"/>
    <w:rsid w:val="00DD69EC"/>
    <w:rsid w:val="00DD7976"/>
    <w:rsid w:val="00DE6CEE"/>
    <w:rsid w:val="00DE7663"/>
    <w:rsid w:val="00DE7CB6"/>
    <w:rsid w:val="00DF1AA2"/>
    <w:rsid w:val="00DF2CDD"/>
    <w:rsid w:val="00DF3C04"/>
    <w:rsid w:val="00DF3DD9"/>
    <w:rsid w:val="00E01650"/>
    <w:rsid w:val="00E07B4B"/>
    <w:rsid w:val="00E1540C"/>
    <w:rsid w:val="00E159E7"/>
    <w:rsid w:val="00E177F7"/>
    <w:rsid w:val="00E219E5"/>
    <w:rsid w:val="00E2421E"/>
    <w:rsid w:val="00E2425C"/>
    <w:rsid w:val="00E26B5A"/>
    <w:rsid w:val="00E3240B"/>
    <w:rsid w:val="00E324F4"/>
    <w:rsid w:val="00E41955"/>
    <w:rsid w:val="00E41EB3"/>
    <w:rsid w:val="00E45E7C"/>
    <w:rsid w:val="00E54B31"/>
    <w:rsid w:val="00E629BF"/>
    <w:rsid w:val="00E63E30"/>
    <w:rsid w:val="00E672BE"/>
    <w:rsid w:val="00E7147E"/>
    <w:rsid w:val="00E71E36"/>
    <w:rsid w:val="00E73CCC"/>
    <w:rsid w:val="00E81EAC"/>
    <w:rsid w:val="00E82632"/>
    <w:rsid w:val="00E930D8"/>
    <w:rsid w:val="00E93D11"/>
    <w:rsid w:val="00E95931"/>
    <w:rsid w:val="00E974BC"/>
    <w:rsid w:val="00EA095D"/>
    <w:rsid w:val="00EA5BDB"/>
    <w:rsid w:val="00EA6F6C"/>
    <w:rsid w:val="00EB1320"/>
    <w:rsid w:val="00EB1A3D"/>
    <w:rsid w:val="00EB22BA"/>
    <w:rsid w:val="00EC1180"/>
    <w:rsid w:val="00EC2785"/>
    <w:rsid w:val="00EC58AC"/>
    <w:rsid w:val="00EC7171"/>
    <w:rsid w:val="00EC72F9"/>
    <w:rsid w:val="00EC7417"/>
    <w:rsid w:val="00EC77E4"/>
    <w:rsid w:val="00EC7807"/>
    <w:rsid w:val="00ED01E5"/>
    <w:rsid w:val="00ED1EA5"/>
    <w:rsid w:val="00ED2F92"/>
    <w:rsid w:val="00ED30BB"/>
    <w:rsid w:val="00ED329F"/>
    <w:rsid w:val="00ED6819"/>
    <w:rsid w:val="00EE0D22"/>
    <w:rsid w:val="00EE408C"/>
    <w:rsid w:val="00EE51E7"/>
    <w:rsid w:val="00EE5FDA"/>
    <w:rsid w:val="00EF2336"/>
    <w:rsid w:val="00EF2D65"/>
    <w:rsid w:val="00EF595D"/>
    <w:rsid w:val="00EF6129"/>
    <w:rsid w:val="00EF6621"/>
    <w:rsid w:val="00F052E1"/>
    <w:rsid w:val="00F138D8"/>
    <w:rsid w:val="00F16048"/>
    <w:rsid w:val="00F20513"/>
    <w:rsid w:val="00F241CF"/>
    <w:rsid w:val="00F267DB"/>
    <w:rsid w:val="00F27798"/>
    <w:rsid w:val="00F36200"/>
    <w:rsid w:val="00F40D28"/>
    <w:rsid w:val="00F42BC1"/>
    <w:rsid w:val="00F434C4"/>
    <w:rsid w:val="00F50388"/>
    <w:rsid w:val="00F5063D"/>
    <w:rsid w:val="00F5275E"/>
    <w:rsid w:val="00F6172B"/>
    <w:rsid w:val="00F6253C"/>
    <w:rsid w:val="00F732D2"/>
    <w:rsid w:val="00F8344F"/>
    <w:rsid w:val="00F83F79"/>
    <w:rsid w:val="00F86D72"/>
    <w:rsid w:val="00F87736"/>
    <w:rsid w:val="00F87BB4"/>
    <w:rsid w:val="00F910FB"/>
    <w:rsid w:val="00F9301E"/>
    <w:rsid w:val="00FA1B62"/>
    <w:rsid w:val="00FA1C96"/>
    <w:rsid w:val="00FA3853"/>
    <w:rsid w:val="00FA67B5"/>
    <w:rsid w:val="00FB18A3"/>
    <w:rsid w:val="00FB57D4"/>
    <w:rsid w:val="00FB7EB4"/>
    <w:rsid w:val="00FC047C"/>
    <w:rsid w:val="00FC5D39"/>
    <w:rsid w:val="00FC6912"/>
    <w:rsid w:val="00FC7E77"/>
    <w:rsid w:val="00FD02D8"/>
    <w:rsid w:val="00FD260E"/>
    <w:rsid w:val="00FD54F8"/>
    <w:rsid w:val="00FD6CCD"/>
    <w:rsid w:val="00FE1384"/>
    <w:rsid w:val="00FE171E"/>
    <w:rsid w:val="00FF26A5"/>
    <w:rsid w:val="00FF35A3"/>
    <w:rsid w:val="00FF36BF"/>
    <w:rsid w:val="00FF61B5"/>
    <w:rsid w:val="00FF7DFE"/>
    <w:rsid w:val="01410BC0"/>
    <w:rsid w:val="029426F5"/>
    <w:rsid w:val="064F7ABB"/>
    <w:rsid w:val="080F19E5"/>
    <w:rsid w:val="086D1BA3"/>
    <w:rsid w:val="0C865744"/>
    <w:rsid w:val="0DE03B8D"/>
    <w:rsid w:val="0FB92F66"/>
    <w:rsid w:val="13A74BF1"/>
    <w:rsid w:val="18BA4C4F"/>
    <w:rsid w:val="1B813443"/>
    <w:rsid w:val="1B9E6577"/>
    <w:rsid w:val="1BFB1448"/>
    <w:rsid w:val="1C0D1F09"/>
    <w:rsid w:val="27F31EA9"/>
    <w:rsid w:val="2D015942"/>
    <w:rsid w:val="409B1434"/>
    <w:rsid w:val="416F7716"/>
    <w:rsid w:val="42F56EAE"/>
    <w:rsid w:val="45060295"/>
    <w:rsid w:val="47E47B88"/>
    <w:rsid w:val="48961842"/>
    <w:rsid w:val="4B94582A"/>
    <w:rsid w:val="4BD64077"/>
    <w:rsid w:val="4D9549A9"/>
    <w:rsid w:val="51BE794D"/>
    <w:rsid w:val="53802A07"/>
    <w:rsid w:val="58420256"/>
    <w:rsid w:val="5F2A5ECB"/>
    <w:rsid w:val="651D3DAC"/>
    <w:rsid w:val="67254159"/>
    <w:rsid w:val="69D34437"/>
    <w:rsid w:val="6A8D1D39"/>
    <w:rsid w:val="6B7118F7"/>
    <w:rsid w:val="6DB01ECA"/>
    <w:rsid w:val="70AD672D"/>
    <w:rsid w:val="76F1165E"/>
    <w:rsid w:val="78135B41"/>
    <w:rsid w:val="78A82174"/>
    <w:rsid w:val="78E147F8"/>
    <w:rsid w:val="7B9E7BA7"/>
    <w:rsid w:val="7D8A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Document Map"/>
    <w:basedOn w:val="1"/>
    <w:link w:val="2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tabs>
        <w:tab w:val="right" w:leader="dot" w:pos="8302"/>
      </w:tabs>
      <w:jc w:val="center"/>
    </w:pPr>
    <w:rPr>
      <w:sz w:val="28"/>
      <w:szCs w:val="28"/>
    </w:rPr>
  </w:style>
  <w:style w:type="paragraph" w:styleId="15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6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7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8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Hyperlink"/>
    <w:basedOn w:val="2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5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2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文档结构图 Char"/>
    <w:basedOn w:val="23"/>
    <w:link w:val="6"/>
    <w:semiHidden/>
    <w:qFormat/>
    <w:uiPriority w:val="99"/>
    <w:rPr>
      <w:rFonts w:ascii="宋体" w:eastAsia="宋体"/>
      <w:sz w:val="18"/>
      <w:szCs w:val="18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批注框文本 Char"/>
    <w:basedOn w:val="23"/>
    <w:link w:val="11"/>
    <w:semiHidden/>
    <w:qFormat/>
    <w:uiPriority w:val="99"/>
    <w:rPr>
      <w:sz w:val="18"/>
      <w:szCs w:val="18"/>
    </w:rPr>
  </w:style>
  <w:style w:type="character" w:customStyle="1" w:styleId="32">
    <w:name w:val="页眉 Char"/>
    <w:basedOn w:val="23"/>
    <w:link w:val="13"/>
    <w:qFormat/>
    <w:uiPriority w:val="99"/>
    <w:rPr>
      <w:sz w:val="18"/>
      <w:szCs w:val="18"/>
    </w:rPr>
  </w:style>
  <w:style w:type="character" w:customStyle="1" w:styleId="33">
    <w:name w:val="页脚 Char"/>
    <w:basedOn w:val="23"/>
    <w:link w:val="12"/>
    <w:qFormat/>
    <w:uiPriority w:val="99"/>
    <w:rPr>
      <w:sz w:val="18"/>
      <w:szCs w:val="18"/>
    </w:rPr>
  </w:style>
  <w:style w:type="character" w:customStyle="1" w:styleId="34">
    <w:name w:val="def"/>
    <w:basedOn w:val="23"/>
    <w:qFormat/>
    <w:uiPriority w:val="0"/>
  </w:style>
  <w:style w:type="character" w:customStyle="1" w:styleId="35">
    <w:name w:val="keyword"/>
    <w:basedOn w:val="23"/>
    <w:qFormat/>
    <w:uiPriority w:val="0"/>
  </w:style>
  <w:style w:type="paragraph" w:customStyle="1" w:styleId="36">
    <w:name w:val="ordinary-output"/>
    <w:basedOn w:val="1"/>
    <w:qFormat/>
    <w:uiPriority w:val="0"/>
    <w:pPr>
      <w:widowControl/>
      <w:spacing w:before="100" w:beforeAutospacing="1" w:after="54" w:line="236" w:lineRule="atLeast"/>
      <w:jc w:val="left"/>
    </w:pPr>
    <w:rPr>
      <w:rFonts w:ascii="宋体" w:hAnsi="宋体" w:eastAsia="宋体" w:cs="宋体"/>
      <w:color w:val="333333"/>
      <w:kern w:val="0"/>
      <w:sz w:val="19"/>
      <w:szCs w:val="19"/>
    </w:rPr>
  </w:style>
  <w:style w:type="character" w:customStyle="1" w:styleId="37">
    <w:name w:val="标题 Char"/>
    <w:basedOn w:val="23"/>
    <w:link w:val="20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38">
    <w:name w:val="p18"/>
    <w:qFormat/>
    <w:uiPriority w:val="0"/>
    <w:pPr>
      <w:ind w:firstLine="420"/>
    </w:pPr>
    <w:rPr>
      <w:rFonts w:ascii="Calibri" w:hAnsi="Calibri" w:eastAsia="宋体" w:cs="Calibri"/>
      <w:kern w:val="0"/>
      <w:sz w:val="20"/>
      <w:szCs w:val="21"/>
      <w:lang w:val="en-US" w:eastAsia="zh-CN" w:bidi="ar-SA"/>
    </w:rPr>
  </w:style>
  <w:style w:type="paragraph" w:customStyle="1" w:styleId="3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  <w:style w:type="paragraph" w:customStyle="1" w:styleId="40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u w:val="single"/>
      <w:shd w:val="clear" w:color="auto" w:fill="auto"/>
    </w:rPr>
  </w:style>
  <w:style w:type="paragraph" w:customStyle="1" w:styleId="41">
    <w:name w:val="Body text|1"/>
    <w:basedOn w:val="1"/>
    <w:qFormat/>
    <w:uiPriority w:val="0"/>
    <w:pPr>
      <w:widowControl w:val="0"/>
      <w:shd w:val="clear" w:color="auto" w:fill="auto"/>
      <w:spacing w:line="386" w:lineRule="auto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42">
    <w:name w:val="Body text|2"/>
    <w:basedOn w:val="1"/>
    <w:qFormat/>
    <w:uiPriority w:val="0"/>
    <w:pPr>
      <w:widowControl w:val="0"/>
      <w:shd w:val="clear" w:color="auto" w:fill="auto"/>
      <w:spacing w:line="313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2ACC-17FB-4601-AFAA-0CAF164036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36</Pages>
  <Words>9198</Words>
  <Characters>33057</Characters>
  <Lines>183</Lines>
  <Paragraphs>51</Paragraphs>
  <TotalTime>5</TotalTime>
  <ScaleCrop>false</ScaleCrop>
  <LinksUpToDate>false</LinksUpToDate>
  <CharactersWithSpaces>36608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2017-11-06T08:56:00Z</dcterms:created>
  <dc:creator>周景江</dc:creator>
  <cp:lastModifiedBy>jion</cp:lastModifiedBy>
  <cp:lastPrinted>2016-03-09T11:39:00Z</cp:lastPrinted>
  <dcterms:modified xsi:type="dcterms:W3CDTF">2023-07-16T22:57:46Z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D675F2AD2C114CD6A7DC9F7931C34AC4_13</vt:lpwstr>
  </property>
</Properties>
</file>